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EXTRAKT z technické specifikace CEN</w:t>
      </w:r>
    </w:p>
    <w:p>
      <w:pPr>
        <w:pStyle w:val="Textnormy"/>
        <w:rPr>
          <w:b/>
        </w:rPr>
      </w:pPr>
      <w:r>
        <w:rPr>
          <w:b/>
        </w:rPr>
        <w:t>Extrakt nenahrazuje samotnou technickou normu, je pouze informativním materiálem o normě.</w:t>
      </w:r>
    </w:p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rPr>
          <w:b/>
          <w:sz w:val="40"/>
          <w:szCs w:val="40"/>
        </w:rPr>
      </w:pPr>
      <w:r>
        <w:rPr>
          <w:b/>
          <w:sz w:val="40"/>
          <w:szCs w:val="40"/>
        </w:rPr>
        <w:t>03.220.01, 35.240.60</w:t>
        <w:tab/>
      </w:r>
    </w:p>
    <w:tbl>
      <w:tblPr>
        <w:tblW w:w="992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71"/>
        <w:gridCol w:w="2552"/>
      </w:tblGrid>
      <w:tr>
        <w:trPr>
          <w:trHeight w:val="1701" w:hRule="atLeast"/>
          <w:cantSplit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/>
            </w:pPr>
            <w:r>
              <w:rPr/>
              <w:t>Dopravní telematika – Zprávy TTI předávané označovacím jazykem s možností rozšíření Expertní skupiny protokolů pro dopravu (TPEG) – Část 3: Aplikace služeb a informační sítě (SNI)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TrZn"/>
              <w:spacing w:before="80" w:after="80"/>
              <w:rPr>
                <w:b/>
                <w:sz w:val="32"/>
                <w:lang w:val="en-US" w:eastAsia="en-US"/>
              </w:rPr>
            </w:pPr>
            <w:r>
              <w:rPr>
                <w:b/>
                <w:sz w:val="32"/>
                <w:lang w:val="en-US" w:eastAsia="en-US"/>
              </w:rPr>
              <w:t xml:space="preserve">CEN ISO/TS 18234-3</w:t>
            </w:r>
          </w:p>
          <w:p>
            <w:pPr>
              <w:pStyle w:val="1StrTrZn"/>
              <w:rPr>
                <w:b/>
                <w:sz w:val="32"/>
                <w:lang w:val="en-US" w:eastAsia="en-US"/>
              </w:rPr>
            </w:pPr>
            <w:r>
              <w:rPr>
                <w:b/>
                <w:sz w:val="32"/>
                <w:lang w:val="en-US" w:eastAsia="en-US"/>
              </w:rPr>
            </w:r>
          </w:p>
          <w:p>
            <w:pPr>
              <w:pStyle w:val="1StrTrZn"/>
              <w:spacing w:before="80" w:after="80"/>
              <w:rPr/>
            </w:pPr>
            <w:r>
              <w:rPr/>
              <w:t xml:space="preserve"/>
            </w:r>
          </w:p>
        </w:tc>
      </w:tr>
    </w:tbl>
    <w:p>
      <w:pPr>
        <w:pStyle w:val="Shodnost"/>
        <w:tabs>
          <w:tab w:val="left" w:pos="7800" w:leader="none"/>
        </w:tabs>
        <w:rPr/>
      </w:pPr>
      <w:r>
        <w:rPr/>
        <w:t xml:space="preserve">Vydána 2006, 37 stran</w:t>
        <w:tab/>
        <w:t/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Úvod</w:t>
      </w:r>
    </w:p>
    <w:p>
      <w:pPr>
        <w:pStyle w:val="Textnormy"/>
        <w:rPr>
          <w:lang w:eastAsia="ar-SA"/>
        </w:rPr>
      </w:pPr>
      <w:r>
        <w:rPr>
          <w:lang w:eastAsia="ar-SA"/>
        </w:rPr>
        <w:t>Tato norma je 3. část souboru norem věnujících se standardizaci protokolu pro dopravu TPEG.</w:t>
      </w:r>
    </w:p>
    <w:p>
      <w:pPr>
        <w:pStyle w:val="Textnormy"/>
        <w:rPr/>
      </w:pPr>
      <w:r>
        <w:rPr/>
        <w:t xml:space="preserve">V úvodu normy je popsána technologie TPEG a její vývoj. TPEG je formou strukturovaného zápisu informací o dopravě, která používá bajtově orientovaný formát toku dat, který lze použít pro přenos jakýmkoliv digitálním nosičem s příslušnou adaptační vrstvou. Zprávy TPEG jsou přenášeny od poskytovatelů služeb ke koncovým uživatelům a používají se k přenosu dat aplikace z databáze poskytovatele služeb do zařízení koncového uživatele. </w:t>
      </w:r>
    </w:p>
    <w:p>
      <w:pPr>
        <w:pStyle w:val="Textnormy"/>
        <w:rPr>
          <w:lang w:eastAsia="ar-SA"/>
        </w:rPr>
      </w:pPr>
      <w:r>
        <w:rPr>
          <w:lang w:eastAsia="ar-SA"/>
        </w:rPr>
        <w:t xml:space="preserve">Poznámka: Extrakt uvádí vybrané kapitoly popisovaného dokumentu a přejímá původní číslování kapitol.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Užití</w:t>
      </w:r>
    </w:p>
    <w:p>
      <w:pPr>
        <w:pStyle w:val="Textnormy"/>
        <w:rPr/>
      </w:pPr>
      <w:r>
        <w:rPr/>
        <w:t>Technologie TPEG je určena pro poskytovatele služeb, neboť byla navržena pro širokou škálu aplikací, které vyžadují efektivní přenos z jednoho bodu do více bodů prostřednictvím poměrně nespolehlivého příjmu rádiového vysílání.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1 Předmět normy</w:t>
      </w:r>
    </w:p>
    <w:p>
      <w:pPr>
        <w:pStyle w:val="Textnormy"/>
        <w:rPr>
          <w:lang w:eastAsia="ar-SA"/>
        </w:rPr>
      </w:pPr>
      <w:r>
        <w:rPr>
          <w:lang w:eastAsia="ar-SA"/>
        </w:rPr>
        <w:t>Tato norma popisuje Aplikaci „Informace o službách v síti“ (SNI) protokolu TPEG, která poskytuje prostředky informování koncového uživatele o všech dostupných službách a jejich obsahu, které jsou poskytovatelem služeb považovány za relevantní pro udržení kontinuity jeho služeb a pro informování o dalších obdobných službách. Stanovuje vztahy pro převod informačního obsahu služby (služeb) mezi různými přenosovými médii. Dále uvádí mechanismy „sledování“ určité (vybrané) služby v rámci jednoho přenosového prostředí, například při předávání koncového zařízení mezi vysílači, včetně detailních příkladů. Pro usnadnění jsou uživateli prostřednictvím aplikací TPEG SNI sděleny např. název služby, poskytovatel, čas a mnoho dalších.</w:t>
      </w:r>
    </w:p>
    <w:p>
      <w:pPr>
        <w:pStyle w:val="Textnormy"/>
        <w:rPr/>
      </w:pPr>
      <w:r>
        <w:rPr>
          <w:lang w:eastAsia="ar-SA"/>
        </w:rPr>
        <w:t>Termín „Aplikace“ je v kontextu TPEG použit pro popis služby na nejvyšší úrovni ISO OSI modelu. Každá Aplikace má v TPEG přiřazen jednoznačný identifikátor AID (viz EN ISO 18234-1), tento identifikátor používá Aplikace SNI k informování zařízení koncového uživatele o obsahu přenášené služby (aplikace) TPEG a o tom jakým způsobem a dekodérem přenášený obsah zpracovat.</w:t>
      </w:r>
    </w:p>
    <w:p>
      <w:pPr>
        <w:pStyle w:val="Textnormy"/>
        <w:rPr/>
      </w:pPr>
      <w:r>
        <w:rPr/>
        <w:t>Aplikace SNI má přiřazen identifikátor AID=0000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2 Souvisící normy</w:t>
      </w:r>
    </w:p>
    <w:p>
      <w:pPr>
        <w:pStyle w:val="Textnormy"/>
        <w:rPr/>
      </w:pPr>
      <w:r>
        <w:rPr/>
        <w:t>Tato 3. část normy CEN ISO/TS 18234 (TPEG-SNI) je pevně spjata s 2. částí (TPEG_SSF) a tyto části by tedy měly být používány společně. Dále se norma odkazuje na normy pro digitální a rádiové vysílání (ETSI EN 300 401, ETSI TS 101 759, IEC 62106, ETSI EN 300 751 a ETSI EN 300 468).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3 Termíny a definice</w:t>
      </w:r>
    </w:p>
    <w:p>
      <w:pPr>
        <w:pStyle w:val="Textnormy"/>
        <w:rPr/>
      </w:pPr>
      <w:r>
        <w:rPr/>
        <w:t>Tato kapitola uvádí 13 termínů a definicí.</w:t>
      </w:r>
    </w:p>
    <w:p>
      <w:pPr>
        <w:pStyle w:val="Textnormy"/>
        <w:rPr>
          <w:lang w:eastAsia="ar-SA"/>
        </w:rPr>
      </w:pPr>
      <w:r>
        <w:rPr>
          <w:lang w:eastAsia="ar-SA"/>
        </w:rPr>
        <w:t xml:space="preserve">Další termíny a zkratky z oboru ITS jsou obsaženy ve slovníku ITS terminology.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4 Symboly a zkratky</w:t>
      </w:r>
    </w:p>
    <w:p>
      <w:pPr>
        <w:pStyle w:val="Textnormy"/>
        <w:rPr/>
      </w:pPr>
      <w:r>
        <w:rPr/>
        <w:t xml:space="preserve">Tato kapitola uvádí 28 zkratek, podstatné z nich jsou uvedeny níže: </w:t>
      </w:r>
    </w:p>
    <w:p>
      <w:pPr>
        <w:pStyle w:val="Textnormy"/>
        <w:rPr/>
      </w:pPr>
      <w:r>
        <w:rPr>
          <w:b/>
        </w:rPr>
        <w:t>4.1 AID</w:t>
        <w:tab/>
      </w:r>
      <w:r>
        <w:rPr/>
        <w:tab/>
        <w:t>application identification – identifikátor aplikace TPEG</w:t>
      </w:r>
    </w:p>
    <w:p>
      <w:pPr>
        <w:pStyle w:val="Textnormy"/>
        <w:rPr/>
      </w:pPr>
      <w:r>
        <w:rPr>
          <w:b/>
        </w:rPr>
        <w:t>4.7 DAB</w:t>
      </w:r>
      <w:r>
        <w:rPr/>
        <w:tab/>
        <w:t xml:space="preserve">digital audio broadcasting – digitální audio vysílání </w:t>
      </w:r>
    </w:p>
    <w:p>
      <w:pPr>
        <w:pStyle w:val="Textnormy"/>
        <w:rPr/>
      </w:pPr>
      <w:r>
        <w:rPr>
          <w:b/>
        </w:rPr>
        <w:t>4.9 DVB</w:t>
      </w:r>
      <w:r>
        <w:rPr/>
        <w:tab/>
        <w:t>digital video broadcasting – digitální vysílání videosignálu</w:t>
      </w:r>
    </w:p>
    <w:p>
      <w:pPr>
        <w:pStyle w:val="Textnormy"/>
        <w:rPr/>
      </w:pPr>
      <w:r>
        <w:rPr>
          <w:b/>
        </w:rPr>
        <w:t xml:space="preserve">4.12 GST </w:t>
      </w:r>
      <w:r>
        <w:rPr/>
        <w:tab/>
        <w:t>guide to the service tables – průvodce tabulkami služeb</w:t>
      </w:r>
    </w:p>
    <w:p>
      <w:pPr>
        <w:pStyle w:val="Textnormy"/>
        <w:rPr/>
      </w:pPr>
      <w:r>
        <w:rPr>
          <w:b/>
        </w:rPr>
        <w:t>4.10 EBU</w:t>
      </w:r>
      <w:r>
        <w:rPr/>
        <w:tab/>
        <w:t xml:space="preserve">European broadcasting union – Evropská vysílací unie </w:t>
      </w:r>
    </w:p>
    <w:p>
      <w:pPr>
        <w:pStyle w:val="Textnormy"/>
        <w:rPr/>
      </w:pPr>
      <w:r>
        <w:rPr>
          <w:b/>
        </w:rPr>
        <w:t>4.16.OSI</w:t>
      </w:r>
      <w:r>
        <w:rPr/>
        <w:tab/>
        <w:t>open systems interconnection – Propojení otevřených systémů</w:t>
      </w:r>
    </w:p>
    <w:p>
      <w:pPr>
        <w:pStyle w:val="Textnormy"/>
        <w:rPr/>
      </w:pPr>
      <w:r>
        <w:rPr>
          <w:b/>
        </w:rPr>
        <w:t>4.18 RTM</w:t>
      </w:r>
      <w:r>
        <w:rPr/>
        <w:tab/>
        <w:t xml:space="preserve">road traffic message – zpráva o stavu dopravy </w:t>
      </w:r>
    </w:p>
    <w:p>
      <w:pPr>
        <w:pStyle w:val="Textnormy"/>
        <w:rPr>
          <w:i/>
        </w:rPr>
      </w:pPr>
      <w:r>
        <w:rPr>
          <w:b/>
        </w:rPr>
        <w:t>4.19 SCID</w:t>
      </w:r>
      <w:r>
        <w:rPr/>
        <w:tab/>
        <w:t>service component identification – identifikace servisní komponenty</w:t>
      </w:r>
    </w:p>
    <w:p>
      <w:pPr>
        <w:pStyle w:val="Textnormy"/>
        <w:rPr/>
      </w:pPr>
      <w:r>
        <w:rPr>
          <w:b/>
        </w:rPr>
        <w:t>4.21 SNI</w:t>
      </w:r>
      <w:r>
        <w:rPr/>
        <w:tab/>
        <w:t>service and network information application – informace o službách v síti</w:t>
      </w:r>
    </w:p>
    <w:p>
      <w:pPr>
        <w:pStyle w:val="Textnormy"/>
        <w:rPr/>
      </w:pPr>
      <w:r>
        <w:rPr>
          <w:b/>
        </w:rPr>
        <w:t>4.22 SSF</w:t>
      </w:r>
      <w:r>
        <w:rPr/>
        <w:tab/>
        <w:t xml:space="preserve">syntax, semantics and framing structure – syntax, sémantika a rámcová struktura </w:t>
      </w:r>
    </w:p>
    <w:p>
      <w:pPr>
        <w:pStyle w:val="Textnormy"/>
        <w:ind w:hanging="1440" w:start="1440" w:end="0"/>
        <w:rPr>
          <w:spacing w:val="-2"/>
        </w:rPr>
      </w:pPr>
      <w:r>
        <w:rPr>
          <w:b/>
        </w:rPr>
        <w:t>4.25 TPEG</w:t>
      </w:r>
      <w:r>
        <w:rPr/>
        <w:tab/>
      </w:r>
      <w:r>
        <w:rPr>
          <w:spacing w:val="-2"/>
        </w:rPr>
        <w:t xml:space="preserve">Transports protocol experts group – </w:t>
      </w:r>
      <w:r>
        <w:rPr/>
        <w:t>Expertní skupina dopravních protokolů,</w:t>
      </w:r>
      <w:r>
        <w:rPr>
          <w:spacing w:val="-2"/>
        </w:rPr>
        <w:t xml:space="preserve"> forma strukturovaného zápisu informací o dopravě</w:t>
      </w:r>
    </w:p>
    <w:p>
      <w:pPr>
        <w:pStyle w:val="Textnormy"/>
        <w:rPr/>
      </w:pPr>
      <w:r>
        <w:rPr>
          <w:b/>
        </w:rPr>
        <w:t>4.28 WEA</w:t>
      </w:r>
      <w:r>
        <w:rPr/>
        <w:tab/>
      </w:r>
      <w:r>
        <w:rPr>
          <w:lang w:eastAsia="ar-SA"/>
        </w:rPr>
        <w:t>weather information</w:t>
      </w:r>
      <w:r>
        <w:rPr/>
        <w:t xml:space="preserve"> – informace o počasí (navrhovaná aplikace TPEG)</w:t>
      </w:r>
    </w:p>
    <w:p>
      <w:pPr>
        <w:pStyle w:val="Textnormy"/>
        <w:rPr>
          <w:lang w:eastAsia="ar-SA"/>
        </w:rPr>
      </w:pPr>
      <w:r>
        <w:rPr>
          <w:lang w:eastAsia="ar-SA"/>
        </w:rPr>
        <w:t xml:space="preserve">Další termíny a zkratky z oboru ITS jsou obsaženy ve slovníku ITS terminology (www.ITSterminology.org).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5</w:t>
      </w:r>
      <w:r>
        <w:rPr>
          <w:rFonts w:hint="eastAsia"/>
          <w:b/>
          <w:sz w:val="22"/>
          <w:szCs w:val="22"/>
        </w:rPr>
        <w:t> </w:t>
      </w:r>
      <w:r>
        <w:rPr>
          <w:b/>
          <w:sz w:val="22"/>
          <w:szCs w:val="22"/>
        </w:rPr>
        <w:t>Identifikace aplikace</w:t>
      </w:r>
    </w:p>
    <w:p>
      <w:pPr>
        <w:pStyle w:val="Textnormy"/>
        <w:rPr/>
      </w:pPr>
      <w:r>
        <w:rPr/>
        <w:t>Každá aplikace TPEG musí mít přidělen svůj identifikátor AID, ten je přidělen okamžitě po dokončení vývoje aplikace před započetím jejího užití v rámci struktury TPEG. Přidělený identifikátor aplikace je nezbytně nutný pro určení způsobu zpracování strukturované informace a pro směrování (routování) těchto informací k dekodéru náležejícímu dané aplikaci. Výčet identifikátorů všech aplikací je uveden v CEN ISO/TS 18234-1.</w:t>
      </w:r>
    </w:p>
    <w:p>
      <w:pPr>
        <w:pStyle w:val="Textnormy"/>
        <w:rPr/>
      </w:pPr>
      <w:r>
        <w:rPr/>
        <w:t>Aplikace stanovená v této normě (TPEG-SNI) má přiřazen identifikátor AID = 0000.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6</w:t>
      </w:r>
      <w:r>
        <w:rPr>
          <w:rFonts w:eastAsia="Arial Unicode MS" w:cs="Arial Unicode MS" w:hint="eastAsia" w:ascii="Arial Unicode MS" w:hAnsi="Arial Unicode MS"/>
          <w:b/>
          <w:sz w:val="22"/>
          <w:szCs w:val="22"/>
        </w:rPr>
        <w:t> </w:t>
      </w:r>
      <w:r>
        <w:rPr>
          <w:b/>
          <w:sz w:val="22"/>
          <w:szCs w:val="22"/>
        </w:rPr>
        <w:t>Konceptuální model</w:t>
      </w:r>
    </w:p>
    <w:p>
      <w:pPr>
        <w:pStyle w:val="Textnormy"/>
        <w:rPr/>
      </w:pPr>
      <w:r>
        <w:rPr/>
        <w:t>V kapitole je uveden seznam využití aplikace SNI, která byla navržena za účelem „navigace“ mezi různými službami v různých přenosových prostředích a umožňuje uživateli vybrat si (najít) požadovanou službu. Z technického hlediska zajišťuje aplikace SNI automatické „ladění“ a sledování vybrané služby TPEG.  Jsou zde vyjmenovány hlavní požadavky na aplikaci SNI mezi které mimo jiné patří, krom výše uvedených, i informace o vysílacích časech, opakování a interakci s ostatními aplikacemi TPEG.</w:t>
      </w:r>
    </w:p>
    <w:p>
      <w:pPr>
        <w:pStyle w:val="Textnormy"/>
        <w:jc w:val="center"/>
        <w:rPr/>
      </w:pPr>
      <w:r>
        <w:rPr/>
        <w:drawing>
          <wp:inline distT="0" distB="0" distL="0" distR="0">
            <wp:extent cx="4638675" cy="35147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8" t="-10" r="-8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351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adpisTabObr"/>
        <w:rPr/>
      </w:pPr>
      <w:r>
        <w:rPr/>
        <w:t>Obrázek 1 – Sdružené aplikace a služby (aplikace, služby, úprava)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7</w:t>
      </w:r>
      <w:r>
        <w:rPr>
          <w:rFonts w:eastAsia="Arial Unicode MS" w:cs="Arial Unicode MS" w:hint="eastAsia" w:ascii="Arial Unicode MS" w:hAnsi="Arial Unicode MS"/>
          <w:b/>
          <w:sz w:val="22"/>
          <w:szCs w:val="22"/>
        </w:rPr>
        <w:t> </w:t>
      </w:r>
      <w:r>
        <w:rPr>
          <w:b/>
          <w:sz w:val="22"/>
          <w:szCs w:val="22"/>
        </w:rPr>
        <w:t>Princip návrhu</w:t>
      </w:r>
    </w:p>
    <w:p>
      <w:pPr>
        <w:pStyle w:val="Textnormy"/>
        <w:rPr/>
      </w:pPr>
      <w:r>
        <w:rPr/>
        <w:t>Tato kapitola uvádí příklad odkazování (referencing) proměnného obsahu služeb pomocí k tomu určených identifikátorů SCID, kde každá část obsahu má přiřazen jednoznačný SCID, tyto části mohou být kombinovány a vytvářet tak služby s různým obsahem.</w:t>
      </w:r>
    </w:p>
    <w:p>
      <w:pPr>
        <w:pStyle w:val="Textnormy"/>
        <w:rPr/>
      </w:pPr>
      <w:r>
        <w:rPr/>
        <w:t>Dále tato kapitola obsahuje příklad aplikace TPEG-SNI v datovém proudu TPEG, koncept alokování služeb (viz obrázek 4) a obecná pravidla pro aplikaci TPEG-SNI. Mezi obecná pravidla patří například nezbytná přítomnost SNI aplikace v každé službě TPEG atd.</w:t>
      </w:r>
    </w:p>
    <w:p>
      <w:pPr>
        <w:pStyle w:val="Textnormy"/>
        <w:jc w:val="center"/>
        <w:rPr/>
      </w:pPr>
      <w:r>
        <w:rPr/>
        <w:drawing>
          <wp:inline distT="0" distB="0" distL="0" distR="0">
            <wp:extent cx="5753100" cy="208089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" t="-13" r="-5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8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adpisTabObr"/>
        <w:rPr/>
      </w:pPr>
      <w:r>
        <w:rPr/>
        <w:t>Obrázek 4 – Příklad alokace služeb v národním radiovém přenosovém médiu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8</w:t>
      </w:r>
      <w:r>
        <w:rPr>
          <w:rFonts w:eastAsia="Arial Unicode MS" w:cs="Arial Unicode MS" w:hint="eastAsia" w:ascii="Arial Unicode MS" w:hAnsi="Arial Unicode MS"/>
          <w:b/>
          <w:sz w:val="22"/>
          <w:szCs w:val="22"/>
        </w:rPr>
        <w:t> </w:t>
      </w:r>
      <w:r>
        <w:rPr>
          <w:b/>
          <w:sz w:val="22"/>
          <w:szCs w:val="22"/>
        </w:rPr>
        <w:t>Popis datových typů SNI</w:t>
      </w:r>
    </w:p>
    <w:p>
      <w:pPr>
        <w:pStyle w:val="Textnormy"/>
        <w:rPr/>
      </w:pPr>
      <w:r>
        <w:rPr/>
        <w:t>Obsahuje popis základních datových typů aplikace SNI. Tyto typy jsou: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typy pro periodické časové funkce (začátek, datum a čas, časový slot, …),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 xml:space="preserve">typ pro určení času opakování výskytu složky určité služby (viz příklad níže) a 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složený typ pro určení geografického pokrytí služby.</w:t>
      </w:r>
    </w:p>
    <w:p>
      <w:pPr>
        <w:pStyle w:val="Textnormy"/>
        <w:rPr/>
      </w:pPr>
      <w:r>
        <w:rPr/>
        <w:t>Příklad typu definujícího čas začátku a konce opakování výskytu složky určité služby:</w:t>
      </w:r>
    </w:p>
    <w:p>
      <w:pPr>
        <w:pStyle w:val="Textnormy"/>
        <w:rPr/>
      </w:pPr>
      <w:r>
        <w:rPr/>
        <w:drawing>
          <wp:inline distT="0" distB="0" distL="0" distR="0">
            <wp:extent cx="5756910" cy="67945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5" t="-42" r="-5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7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9</w:t>
      </w:r>
      <w:r>
        <w:rPr>
          <w:rFonts w:eastAsia="Arial Unicode MS" w:cs="Arial Unicode MS" w:hint="eastAsia" w:ascii="Arial Unicode MS" w:hAnsi="Arial Unicode MS"/>
          <w:b/>
          <w:sz w:val="22"/>
          <w:szCs w:val="22"/>
        </w:rPr>
        <w:t> </w:t>
      </w:r>
      <w:r>
        <w:rPr>
          <w:b/>
          <w:sz w:val="22"/>
          <w:szCs w:val="22"/>
        </w:rPr>
        <w:t>Popis základních prvků</w:t>
      </w:r>
    </w:p>
    <w:p>
      <w:pPr>
        <w:pStyle w:val="Textnormy"/>
        <w:rPr/>
      </w:pPr>
      <w:r>
        <w:rPr/>
        <w:t>Tato kapitola obsahuje popis základních prvků Aplikace SNI rozdělený do tří článků.</w:t>
      </w:r>
    </w:p>
    <w:p>
      <w:pPr>
        <w:pStyle w:val="Textnormy"/>
        <w:rPr>
          <w:b/>
        </w:rPr>
      </w:pPr>
      <w:r>
        <w:rPr>
          <w:b/>
        </w:rPr>
        <w:t>9.1 Informace o službě</w:t>
      </w:r>
    </w:p>
    <w:p>
      <w:pPr>
        <w:pStyle w:val="Textnormy"/>
        <w:rPr/>
      </w:pPr>
      <w:r>
        <w:rPr/>
        <w:t>Tento článek popisuje formát informací o službě (název a popis služby, logo, informace pro předplatitele, pomocné informace a volný text). Jako nejvhodnější prostředek popisu je zvolena tabulka následovaná vysvětlivkami.</w:t>
      </w:r>
    </w:p>
    <w:p>
      <w:pPr>
        <w:pStyle w:val="NadpisTabObr"/>
        <w:rPr/>
      </w:pPr>
      <w:r>
        <w:rPr/>
        <w:t>Tabulka 3 – Popis prvku informace o službě/název a popis služby</w:t>
      </w:r>
    </w:p>
    <w:p>
      <w:pPr>
        <w:pStyle w:val="Textnormy"/>
        <w:rPr/>
      </w:pPr>
      <w:r>
        <w:rPr/>
        <w:drawing>
          <wp:inline distT="0" distB="0" distL="0" distR="0">
            <wp:extent cx="5343525" cy="120967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7" t="-30" r="-7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>
          <w:b/>
        </w:rPr>
      </w:pPr>
      <w:r>
        <w:rPr>
          <w:b/>
        </w:rPr>
      </w:r>
    </w:p>
    <w:p>
      <w:pPr>
        <w:pStyle w:val="Textnormy"/>
        <w:rPr>
          <w:b/>
        </w:rPr>
      </w:pPr>
      <w:r>
        <w:rPr>
          <w:b/>
        </w:rPr>
        <w:t>9.2 Informace o obsahu služby (komponenty služby)</w:t>
      </w:r>
    </w:p>
    <w:p>
      <w:pPr>
        <w:pStyle w:val="Textnormy"/>
        <w:rPr/>
      </w:pPr>
      <w:r>
        <w:rPr/>
        <w:t xml:space="preserve">Tento článek je poměrně rozsáhlejší a uvádí formát popisu informací o obsahu služby. </w:t>
      </w:r>
    </w:p>
    <w:p>
      <w:pPr>
        <w:pStyle w:val="Textnormy"/>
        <w:rPr/>
      </w:pPr>
      <w:r>
        <w:rPr/>
        <w:t>Formát popisu informací o obsahu služby je v normě uveden pomocí tzv. tabulek GST – průvodce tabulkami služeb. Tyto tabulky se skládají z 5 částí, které přenášejí informace o obsahu služby/služeb. Hlavní tabulka, GST 1, je nazvaná „rychlé ladění“ a obsahuje informace o všech službách a jejich přidružených komponentách přenášených v datovém proudu TPEG, viz tabulka 10:</w:t>
      </w:r>
    </w:p>
    <w:p>
      <w:pPr>
        <w:pStyle w:val="NadpisTabObr"/>
        <w:rPr/>
      </w:pPr>
      <w:r>
        <w:rPr/>
        <w:t>Tabulka 10 – Velmi jednoduchý příklad tabulky GST 1: „rychlé ladění“</w:t>
      </w:r>
    </w:p>
    <w:p>
      <w:pPr>
        <w:pStyle w:val="Textnormy"/>
        <w:rPr/>
      </w:pPr>
      <w:r>
        <w:rPr/>
        <w:drawing>
          <wp:inline distT="0" distB="0" distL="0" distR="0">
            <wp:extent cx="5762625" cy="212407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6" t="-17" r="-6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>
          <w:spacing w:val="-2"/>
        </w:rPr>
      </w:pPr>
      <w:r>
        <w:rPr>
          <w:spacing w:val="-2"/>
        </w:rPr>
        <w:t>Další tabulky GST jsou na rozdíl od té první nepovinné a obsahují: časový rozvrh služby (GST 2), popis obsahu (GST 3), prostorové pokrytí služby (GST 4) a nastavení/reset komponenty služby (GST 5).</w:t>
      </w:r>
    </w:p>
    <w:p>
      <w:pPr>
        <w:pStyle w:val="Textnormy"/>
        <w:rPr>
          <w:b/>
        </w:rPr>
      </w:pPr>
      <w:r>
        <w:rPr>
          <w:b/>
        </w:rPr>
        <w:t>9.3 Informace o propojení služeb a jejich komponent</w:t>
      </w:r>
    </w:p>
    <w:p>
      <w:pPr>
        <w:pStyle w:val="Textnormy"/>
        <w:rPr/>
      </w:pPr>
      <w:r>
        <w:rPr/>
        <w:t>Tento článek obsahuje informace o propojení služeb a jejich komponent. Zavádí tabulku pomocí které je možné propojit:</w:t>
      </w:r>
    </w:p>
    <w:p>
      <w:pPr>
        <w:pStyle w:val="Abecednseznam"/>
        <w:numPr>
          <w:ilvl w:val="0"/>
          <w:numId w:val="6"/>
        </w:numPr>
        <w:ind w:hanging="0" w:start="0"/>
        <w:rPr/>
      </w:pPr>
      <w:r>
        <w:rPr/>
        <w:t xml:space="preserve">stejnou službu (stejné SID) v různých přenosových médiích, </w:t>
      </w:r>
    </w:p>
    <w:p>
      <w:pPr>
        <w:pStyle w:val="Abecednseznam"/>
        <w:numPr>
          <w:ilvl w:val="0"/>
          <w:numId w:val="6"/>
        </w:numPr>
        <w:ind w:hanging="0" w:start="0"/>
        <w:rPr/>
      </w:pPr>
      <w:r>
        <w:rPr/>
        <w:t xml:space="preserve">různé služby (rozdílné SID) v rámci jednoho přenosového média a </w:t>
      </w:r>
    </w:p>
    <w:p>
      <w:pPr>
        <w:pStyle w:val="Abecednseznam"/>
        <w:numPr>
          <w:ilvl w:val="0"/>
          <w:numId w:val="6"/>
        </w:numPr>
        <w:ind w:hanging="0" w:start="0"/>
        <w:rPr/>
      </w:pPr>
      <w:r>
        <w:rPr/>
        <w:t>různé služby (rozdílné SID) v různých přenosových médiích.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10</w:t>
      </w:r>
      <w:r>
        <w:rPr>
          <w:rFonts w:hint="eastAsia"/>
          <w:b/>
          <w:sz w:val="22"/>
          <w:szCs w:val="22"/>
        </w:rPr>
        <w:t> </w:t>
      </w:r>
      <w:r>
        <w:rPr>
          <w:b/>
          <w:sz w:val="22"/>
          <w:szCs w:val="22"/>
        </w:rPr>
        <w:t>Struktura kódování základních prvků</w:t>
      </w:r>
    </w:p>
    <w:p>
      <w:pPr>
        <w:pStyle w:val="Textnormy"/>
        <w:rPr/>
      </w:pPr>
      <w:r>
        <w:rPr/>
        <w:t>Tato kapitola obsahuje definice a způsob kódování prvků uvedených v předchozí kapitole, tj. informace o službě (název a popis služby, logo, informace pro předplatitele, pomocné informace a volný text), informace o obsahu služby (GST 1 -5) a informace o propojení služeb a jejich komponent. K popisu struktury základních prvků aplikace SNI je použito kódování stanovené v EN ISO 18234-2 SSF. Rámec komponent Sni je uveden níže:</w:t>
      </w:r>
    </w:p>
    <w:p>
      <w:pPr>
        <w:pStyle w:val="Textnormy"/>
        <w:rPr/>
      </w:pPr>
      <w:r>
        <w:rPr/>
        <w:drawing>
          <wp:inline distT="0" distB="0" distL="0" distR="0">
            <wp:extent cx="5756275" cy="104267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5" t="-27" r="-5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04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/>
      </w:pPr>
      <w:r>
        <w:rPr/>
      </w:r>
    </w:p>
    <w:p>
      <w:pPr>
        <w:pStyle w:val="Textnormy"/>
        <w:spacing w:before="0" w:after="120"/>
        <w:rPr/>
      </w:pPr>
      <w:r>
        <w:rPr/>
      </w:r>
    </w:p>
    <w:sectPr>
      <w:footerReference w:type="default" r:id="rId8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StarSymbol">
    <w:altName w:val="Arial Unicode MS"/>
    <w:charset w:val="ee" w:characterSet="windows-1250"/>
    <w:family w:val="auto"/>
    <w:pitch w:val="default"/>
  </w:font>
  <w:font w:name="Times New Roman">
    <w:charset w:val="ee" w:characterSet="windows-1250"/>
    <w:family w:val="roman"/>
    <w:pitch w:val="variable"/>
  </w:font>
  <w:font w:name="Courier New">
    <w:charset w:val="ee" w:characterSet="windows-1250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MIFBNE+Arial">
    <w:altName w:val="Bold"/>
    <w:charset w:val="00" w:characterSet="windows-1252"/>
    <w:family w:val="swiss"/>
    <w:pitch w:val="default"/>
  </w:font>
  <w:font w:name="Tahoma">
    <w:charset w:val="ee" w:characterSet="windows-1250"/>
    <w:family w:val="swiss"/>
    <w:pitch w:val="variable"/>
  </w:font>
  <w:font w:name="Arial Unicode MS">
    <w:charset w:val="8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11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120" cy="146050"/>
              <wp:effectExtent l="0" t="0" r="0" b="0"/>
              <wp:wrapSquare wrapText="bothSides"/>
              <wp:docPr id="7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46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1.5pt;mso-wrap-distance-left:0pt;mso-wrap-distance-right:0pt;mso-wrap-distance-top:0pt;mso-wrap-distance-bottom:0pt;margin-top:0.05pt;mso-position-vertical-relative:text;margin-left:22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–"/>
      <w:lvlJc w:val="start"/>
      <w:pPr>
        <w:tabs>
          <w:tab w:val="num" w:pos="360"/>
        </w:tabs>
        <w:ind w:start="283" w:hanging="283"/>
      </w:pPr>
      <w:rPr>
        <w:rFonts w:ascii="Arial" w:hAnsi="Arial" w:cs="Arial" w:hint="default"/>
      </w:rPr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283"/>
        </w:tabs>
        <w:ind w:start="283" w:hanging="283"/>
      </w:pPr>
    </w:lvl>
  </w:abstractNum>
  <w:abstractNum w:abstractNumId="6">
    <w:lvl w:ilvl="0">
      <w:start w:val="1"/>
      <w:numFmt w:val="lowerLetter"/>
      <w:lvlText w:val="%1)"/>
      <w:lvlJc w:val="start"/>
      <w:pPr>
        <w:tabs>
          <w:tab w:val="num" w:pos="360"/>
        </w:tabs>
        <w:ind w:start="284" w:hanging="2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Heading1">
    <w:name w:val="heading 1"/>
    <w:basedOn w:val="Normal"/>
    <w:next w:val="BodyText"/>
    <w:qFormat/>
    <w:pPr>
      <w:keepNext w:val="true"/>
      <w:widowControl w:val="false"/>
      <w:numPr>
        <w:ilvl w:val="0"/>
        <w:numId w:val="1"/>
      </w:numPr>
      <w:suppressAutoHyphens w:val="true"/>
      <w:spacing w:before="240" w:after="120"/>
      <w:jc w:val="both"/>
      <w:outlineLvl w:val="0"/>
    </w:pPr>
    <w:rPr>
      <w:rFonts w:eastAsia="Lucida Sans Unicode" w:cs="Tahom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>
      <w:rFonts w:cs="Arial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StarSymbol;Times New Roman"/>
      <w:sz w:val="18"/>
      <w:szCs w:val="18"/>
    </w:rPr>
  </w:style>
  <w:style w:type="character" w:styleId="WW8Num3z1">
    <w:name w:val="WW8Num3z1"/>
    <w:qFormat/>
    <w:rPr>
      <w:rFonts w:ascii="Wingdings 2" w:hAnsi="Wingdings 2" w:cs="StarSymbol;Times New Roman"/>
      <w:sz w:val="18"/>
      <w:szCs w:val="18"/>
    </w:rPr>
  </w:style>
  <w:style w:type="character" w:styleId="WW8Num3z2">
    <w:name w:val="WW8Num3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4z0">
    <w:name w:val="WW8Num4z0"/>
    <w:qFormat/>
    <w:rPr>
      <w:rFonts w:ascii="Wingdings" w:hAnsi="Wingdings" w:cs="StarSymbol;Times New Roman"/>
      <w:sz w:val="18"/>
      <w:szCs w:val="18"/>
    </w:rPr>
  </w:style>
  <w:style w:type="character" w:styleId="WW8Num4z1">
    <w:name w:val="WW8Num4z1"/>
    <w:qFormat/>
    <w:rPr>
      <w:rFonts w:ascii="Wingdings 2" w:hAnsi="Wingdings 2" w:cs="StarSymbol;Times New Roman"/>
      <w:sz w:val="18"/>
      <w:szCs w:val="18"/>
    </w:rPr>
  </w:style>
  <w:style w:type="character" w:styleId="WW8Num4z2">
    <w:name w:val="WW8Num4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5z0">
    <w:name w:val="WW8Num5z0"/>
    <w:qFormat/>
    <w:rPr>
      <w:rFonts w:ascii="Arial" w:hAnsi="Arial" w:cs="Arial"/>
    </w:rPr>
  </w:style>
  <w:style w:type="character" w:styleId="WW8Num7z0">
    <w:name w:val="WW8Num7z0"/>
    <w:qFormat/>
    <w:rPr>
      <w:rFonts w:ascii="Times New Roman" w:hAnsi="Times New Roman" w:eastAsia="Lucida Sans Unicode" w:cs="Times New Roman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/>
  </w:style>
  <w:style w:type="character" w:styleId="WW8Num12z0">
    <w:name w:val="WW8Num12z0"/>
    <w:qFormat/>
    <w:rPr>
      <w:rFonts w:ascii="Wingdings" w:hAnsi="Wingdings" w:cs="StarSymbol;Times New Roman"/>
      <w:sz w:val="18"/>
      <w:szCs w:val="18"/>
    </w:rPr>
  </w:style>
  <w:style w:type="character" w:styleId="WW8Num12z1">
    <w:name w:val="WW8Num12z1"/>
    <w:qFormat/>
    <w:rPr>
      <w:rFonts w:ascii="Wingdings 2" w:hAnsi="Wingdings 2" w:cs="StarSymbol;Times New Roman"/>
      <w:sz w:val="18"/>
      <w:szCs w:val="18"/>
    </w:rPr>
  </w:style>
  <w:style w:type="character" w:styleId="WW8Num12z2">
    <w:name w:val="WW8Num12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4z0">
    <w:name w:val="WW8Num14z0"/>
    <w:qFormat/>
    <w:rPr>
      <w:rFonts w:ascii="Arial" w:hAnsi="Arial" w:cs="Arial"/>
      <w:sz w:val="18"/>
      <w:szCs w:val="18"/>
    </w:rPr>
  </w:style>
  <w:style w:type="character" w:styleId="WW8Num14z1">
    <w:name w:val="WW8Num14z1"/>
    <w:qFormat/>
    <w:rPr>
      <w:rFonts w:ascii="Wingdings 2" w:hAnsi="Wingdings 2" w:cs="StarSymbol;Times New Roman"/>
      <w:sz w:val="18"/>
      <w:szCs w:val="18"/>
    </w:rPr>
  </w:style>
  <w:style w:type="character" w:styleId="WW8Num14z2">
    <w:name w:val="WW8Num14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4z3">
    <w:name w:val="WW8Num14z3"/>
    <w:qFormat/>
    <w:rPr>
      <w:rFonts w:ascii="Wingdings" w:hAnsi="Wingdings" w:cs="StarSymbol;Times New Roman"/>
      <w:sz w:val="18"/>
      <w:szCs w:val="18"/>
    </w:rPr>
  </w:style>
  <w:style w:type="character" w:styleId="WW8Num15z0">
    <w:name w:val="WW8Num15z0"/>
    <w:qFormat/>
    <w:rPr>
      <w:rFonts w:ascii="Arial" w:hAnsi="Arial" w:cs="Arial"/>
      <w:sz w:val="18"/>
      <w:szCs w:val="18"/>
    </w:rPr>
  </w:style>
  <w:style w:type="character" w:styleId="WW8Num15z1">
    <w:name w:val="WW8Num15z1"/>
    <w:qFormat/>
    <w:rPr>
      <w:rFonts w:ascii="Wingdings 2" w:hAnsi="Wingdings 2" w:cs="StarSymbol;Times New Roman"/>
      <w:sz w:val="18"/>
      <w:szCs w:val="18"/>
    </w:rPr>
  </w:style>
  <w:style w:type="character" w:styleId="WW8Num15z2">
    <w:name w:val="WW8Num15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5z3">
    <w:name w:val="WW8Num15z3"/>
    <w:qFormat/>
    <w:rPr>
      <w:rFonts w:ascii="Wingdings" w:hAnsi="Wingdings" w:cs="StarSymbol;Times New Roman"/>
      <w:sz w:val="18"/>
      <w:szCs w:val="18"/>
    </w:rPr>
  </w:style>
  <w:style w:type="character" w:styleId="Standardnpsmoodstavce">
    <w:name w:val="Standardní písmo odstavce"/>
    <w:qFormat/>
    <w:rPr/>
  </w:style>
  <w:style w:type="character" w:styleId="TextnormyChar1">
    <w:name w:val="Text normy Char1"/>
    <w:basedOn w:val="Standardnpsmoodstavce"/>
    <w:qFormat/>
    <w:rPr>
      <w:rFonts w:ascii="Arial" w:hAnsi="Arial" w:cs="Arial"/>
      <w:lang w:val="cs-CZ" w:bidi="ar-SA"/>
    </w:rPr>
  </w:style>
  <w:style w:type="character" w:styleId="Hyperlink">
    <w:name w:val="Hyperlink"/>
    <w:rPr>
      <w:color w:val="000080"/>
      <w:u w:val="single"/>
    </w:rPr>
  </w:style>
  <w:style w:type="character" w:styleId="PageNumber">
    <w:name w:val="page number"/>
    <w:basedOn w:val="Standardnpsmoodstavce"/>
    <w:rPr/>
  </w:style>
  <w:style w:type="character" w:styleId="FootnoteCharacters">
    <w:name w:val="Footnote Characters"/>
    <w:basedOn w:val="Standardnpsmoodstavce"/>
    <w:qFormat/>
    <w:rPr>
      <w:vertAlign w:val="superscript"/>
    </w:rPr>
  </w:style>
  <w:style w:type="character" w:styleId="NadpisTabObrChar">
    <w:name w:val="NadpisTabObr Char"/>
    <w:basedOn w:val="Standardnpsmoodstavce"/>
    <w:qFormat/>
    <w:rPr>
      <w:rFonts w:ascii="Arial" w:hAnsi="Arial" w:cs="Arial"/>
      <w:b/>
      <w:lang w:val="cs-CZ" w:bidi="ar-SA"/>
    </w:rPr>
  </w:style>
  <w:style w:type="character" w:styleId="NadpislnkuChar">
    <w:name w:val="Nadpis článku Char"/>
    <w:basedOn w:val="TextnormyChar1"/>
    <w:qFormat/>
    <w:rPr>
      <w:b/>
    </w:rPr>
  </w:style>
  <w:style w:type="character" w:styleId="Odkaznakoment">
    <w:name w:val="Odkaz na komentář"/>
    <w:basedOn w:val="Standardnpsmoodstavce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extnormy">
    <w:name w:val="Text normy"/>
    <w:qFormat/>
    <w:pPr>
      <w:widowControl/>
      <w:bidi w:val="0"/>
      <w:spacing w:before="0" w:after="120"/>
      <w:jc w:val="both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Nadpislnku">
    <w:name w:val="Nadpis článku"/>
    <w:basedOn w:val="Textnormy"/>
    <w:next w:val="Textnormy"/>
    <w:qFormat/>
    <w:pPr>
      <w:keepNext w:val="true"/>
      <w:keepLines/>
      <w:suppressAutoHyphens w:val="true"/>
      <w:spacing w:before="120" w:after="120"/>
      <w:jc w:val="start"/>
    </w:pPr>
    <w:rPr>
      <w:b/>
    </w:rPr>
  </w:style>
  <w:style w:type="paragraph" w:styleId="1StrTrZn">
    <w:name w:val="1StrTrZn"/>
    <w:basedOn w:val="Textnormy"/>
    <w:qFormat/>
    <w:pPr>
      <w:spacing w:lineRule="exact" w:line="340" w:before="80" w:after="80"/>
      <w:jc w:val="start"/>
    </w:pPr>
    <w:rPr>
      <w:sz w:val="28"/>
    </w:rPr>
  </w:style>
  <w:style w:type="paragraph" w:styleId="1StrNN-1-23">
    <w:name w:val="1StrNN-1-23"/>
    <w:basedOn w:val="Textnormy"/>
    <w:qFormat/>
    <w:pPr>
      <w:widowControl w:val="false"/>
      <w:suppressAutoHyphens w:val="true"/>
      <w:spacing w:lineRule="exact" w:line="340" w:before="640" w:after="0"/>
      <w:ind w:hanging="0" w:start="0" w:end="567"/>
      <w:jc w:val="start"/>
    </w:pPr>
    <w:rPr>
      <w:b/>
      <w:sz w:val="28"/>
    </w:rPr>
  </w:style>
  <w:style w:type="paragraph" w:styleId="Cizojazynnzev">
    <w:name w:val="Cizojazyčný název"/>
    <w:basedOn w:val="Textnormy"/>
    <w:qFormat/>
    <w:pPr>
      <w:widowControl w:val="false"/>
      <w:suppressAutoHyphens w:val="true"/>
      <w:jc w:val="start"/>
    </w:pPr>
    <w:rPr>
      <w:sz w:val="18"/>
    </w:rPr>
  </w:style>
  <w:style w:type="paragraph" w:styleId="Shodnost">
    <w:name w:val="Shodnost"/>
    <w:basedOn w:val="Textnormy"/>
    <w:next w:val="Textnormy"/>
    <w:qFormat/>
    <w:pPr>
      <w:keepNext w:val="true"/>
      <w:keepLines/>
      <w:tabs>
        <w:tab w:val="clear" w:pos="708"/>
        <w:tab w:val="right" w:pos="9923" w:leader="none"/>
      </w:tabs>
      <w:spacing w:before="240" w:after="360"/>
      <w:jc w:val="start"/>
    </w:pPr>
    <w:rPr>
      <w:sz w:val="28"/>
    </w:rPr>
  </w:style>
  <w:style w:type="paragraph" w:styleId="1Str1Rad">
    <w:name w:val="1Str1Rad"/>
    <w:basedOn w:val="Textnormy"/>
    <w:qFormat/>
    <w:pPr>
      <w:widowControl w:val="false"/>
      <w:tabs>
        <w:tab w:val="clear" w:pos="708"/>
        <w:tab w:val="left" w:pos="7371" w:leader="none"/>
        <w:tab w:val="right" w:pos="9866" w:leader="none"/>
      </w:tabs>
    </w:pPr>
    <w:rPr/>
  </w:style>
  <w:style w:type="paragraph" w:styleId="esknorma">
    <w:name w:val="Česká norma"/>
    <w:basedOn w:val="Textnormy"/>
    <w:next w:val="1Str1Rad"/>
    <w:qFormat/>
    <w:pPr>
      <w:spacing w:before="0" w:after="0"/>
      <w:jc w:val="start"/>
    </w:pPr>
    <w:rPr>
      <w:sz w:val="28"/>
    </w:rPr>
  </w:style>
  <w:style w:type="paragraph" w:styleId="1StrCN">
    <w:name w:val="1StrCN"/>
    <w:basedOn w:val="Textnormy"/>
    <w:next w:val="1StrTrZn"/>
    <w:qFormat/>
    <w:pPr>
      <w:spacing w:lineRule="exact" w:line="340" w:before="180" w:after="0"/>
      <w:jc w:val="start"/>
    </w:pPr>
    <w:rPr>
      <w:b/>
      <w:sz w:val="32"/>
      <w:lang w:val="en-US" w:eastAsia="en-US"/>
    </w:rPr>
  </w:style>
  <w:style w:type="paragraph" w:styleId="Tabulka">
    <w:name w:val="Tabulka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Texttabulky">
    <w:name w:val="Text tabulky"/>
    <w:basedOn w:val="Textnormy"/>
    <w:qFormat/>
    <w:pPr>
      <w:suppressAutoHyphens w:val="true"/>
      <w:spacing w:before="60" w:after="60"/>
      <w:jc w:val="start"/>
    </w:pPr>
    <w:rPr>
      <w:rFonts w:eastAsia="Arial"/>
      <w:kern w:val="2"/>
      <w:sz w:val="18"/>
    </w:rPr>
  </w:style>
  <w:style w:type="paragraph" w:styleId="Ilustrace">
    <w:name w:val="Ilustrace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NadpisTabObr">
    <w:name w:val="NadpisTabObr"/>
    <w:basedOn w:val="Nadpislnku"/>
    <w:next w:val="Textnormy"/>
    <w:qFormat/>
    <w:pPr>
      <w:keepNext w:val="false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Textnormy"/>
    <w:pPr/>
    <w:rPr>
      <w:sz w:val="18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Seznamvnorm">
    <w:name w:val="Seznam v normě"/>
    <w:basedOn w:val="Textnormy"/>
    <w:qFormat/>
    <w:pPr>
      <w:numPr>
        <w:ilvl w:val="0"/>
        <w:numId w:val="3"/>
      </w:numPr>
    </w:pPr>
    <w:rPr/>
  </w:style>
  <w:style w:type="paragraph" w:styleId="TextnormyUS">
    <w:name w:val="Text normy US"/>
    <w:basedOn w:val="Textnormy"/>
    <w:qFormat/>
    <w:pPr>
      <w:spacing w:before="0" w:after="0"/>
    </w:pPr>
    <w:rPr>
      <w:lang w:val="en-US" w:eastAsia="en-US"/>
    </w:rPr>
  </w:style>
  <w:style w:type="paragraph" w:styleId="Abecednseznam">
    <w:name w:val="Abecední seznam"/>
    <w:basedOn w:val="Textnormy"/>
    <w:qFormat/>
    <w:pPr>
      <w:numPr>
        <w:ilvl w:val="0"/>
        <w:numId w:val="6"/>
      </w:numPr>
      <w:tabs>
        <w:tab w:val="clear" w:pos="708"/>
      </w:tabs>
    </w:pPr>
    <w:rPr/>
  </w:style>
  <w:style w:type="paragraph" w:styleId="Nadpiskapitoly">
    <w:name w:val="Nadpis kapitoly"/>
    <w:basedOn w:val="Nadpislnku"/>
    <w:next w:val="Textnormy"/>
    <w:qFormat/>
    <w:pPr>
      <w:spacing w:before="240" w:after="180"/>
    </w:pPr>
    <w:rPr>
      <w:sz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MIFBNE+Arial,Bold;Arial" w:hAnsi="MIFBNE+Arial,Bold;Arial" w:eastAsia="Times New Roman" w:cs="MIFBNE+Arial,Bold;Arial"/>
      <w:color w:val="000000"/>
      <w:sz w:val="24"/>
      <w:szCs w:val="24"/>
      <w:lang w:val="cs-CZ" w:bidi="ar-SA" w:eastAsia="zh-CN"/>
    </w:rPr>
  </w:style>
  <w:style w:type="paragraph" w:styleId="Poznmka">
    <w:name w:val="Poznámka"/>
    <w:basedOn w:val="Textnormy"/>
    <w:next w:val="Textnormy"/>
    <w:qFormat/>
    <w:pPr>
      <w:spacing w:before="80" w:after="200"/>
    </w:pPr>
    <w:rPr>
      <w:sz w:val="18"/>
    </w:rPr>
  </w:style>
  <w:style w:type="paragraph" w:styleId="FootnoteText">
    <w:name w:val="footnote text"/>
    <w:basedOn w:val="Poznmka"/>
    <w:pPr>
      <w:spacing w:before="60" w:after="0"/>
    </w:pPr>
    <w:rPr/>
  </w:style>
  <w:style w:type="paragraph" w:styleId="slovanseznam">
    <w:name w:val="Číslovaný seznam"/>
    <w:basedOn w:val="Textnormy"/>
    <w:qFormat/>
    <w:pPr>
      <w:numPr>
        <w:ilvl w:val="0"/>
        <w:numId w:val="5"/>
      </w:numPr>
    </w:pPr>
    <w:rPr/>
  </w:style>
  <w:style w:type="paragraph" w:styleId="Tabletext9">
    <w:name w:val="Table text (9)"/>
    <w:basedOn w:val="Normal"/>
    <w:qFormat/>
    <w:pPr>
      <w:spacing w:lineRule="atLeast" w:line="210" w:before="60" w:after="60"/>
    </w:pPr>
    <w:rPr>
      <w:sz w:val="18"/>
    </w:rPr>
  </w:style>
  <w:style w:type="paragraph" w:styleId="Seznamsodrkami">
    <w:name w:val="Seznam s odrážkami"/>
    <w:basedOn w:val="Normal"/>
    <w:qFormat/>
    <w:pPr>
      <w:widowControl w:val="false"/>
      <w:numPr>
        <w:ilvl w:val="0"/>
        <w:numId w:val="2"/>
      </w:numPr>
      <w:suppressAutoHyphens w:val="true"/>
      <w:spacing w:before="113" w:after="113"/>
      <w:jc w:val="both"/>
    </w:pPr>
    <w:rPr>
      <w:rFonts w:ascii="Times New Roman" w:hAnsi="Times New Roman" w:eastAsia="Lucida Sans Unicode" w:cs="Times New Roman"/>
      <w:kern w:val="2"/>
      <w:sz w:val="24"/>
      <w:szCs w:val="24"/>
    </w:rPr>
  </w:style>
  <w:style w:type="paragraph" w:styleId="Obrzek">
    <w:name w:val="Obrázek"/>
    <w:basedOn w:val="Textnormy"/>
    <w:next w:val="NadpisTabObr"/>
    <w:qFormat/>
    <w:pPr>
      <w:keepNext w:val="true"/>
      <w:spacing w:before="0" w:after="160"/>
      <w:jc w:val="center"/>
    </w:pPr>
    <w:rPr/>
  </w:style>
  <w:style w:type="paragraph" w:styleId="DodatekN2">
    <w:name w:val="Dodatek N2"/>
    <w:basedOn w:val="Heading2"/>
    <w:qFormat/>
    <w:pPr>
      <w:widowControl w:val="false"/>
      <w:numPr>
        <w:ilvl w:val="0"/>
        <w:numId w:val="4"/>
      </w:numPr>
      <w:suppressAutoHyphens w:val="true"/>
      <w:jc w:val="both"/>
    </w:pPr>
    <w:rPr>
      <w:rFonts w:eastAsia="Lucida Sans Unicode"/>
      <w:kern w:val="2"/>
    </w:rPr>
  </w:style>
  <w:style w:type="paragraph" w:styleId="Textkomente">
    <w:name w:val="Text komentáře"/>
    <w:basedOn w:val="Normal"/>
    <w:qFormat/>
    <w:pPr/>
    <w:rPr/>
  </w:style>
  <w:style w:type="paragraph" w:styleId="Pedmtkomente">
    <w:name w:val="Předmět komentáře"/>
    <w:basedOn w:val="Textkomente"/>
    <w:next w:val="Textkomente"/>
    <w:qFormat/>
    <w:pPr/>
    <w:rPr>
      <w:b/>
      <w:bCs/>
    </w:rPr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2008-11-26T20:16:00Z</dcterms:created>
  <dc:creator>David Bárta</dc:creator>
  <dc:description/>
  <cp:keywords/>
  <dc:language>en-US</dc:language>
  <cp:lastModifiedBy>David Bárta</cp:lastModifiedBy>
  <cp:lastPrinted>2008-08-26T00:25:00Z</cp:lastPrinted>
  <dcterms:modified xsi:type="dcterms:W3CDTF">2008-11-26T20:16:00Z</dcterms:modified>
  <cp:revision>3</cp:revision>
  <dc:subject/>
  <dc:title>ČESKÁ TECHNICKÁ NORMA</dc:title>
</cp:coreProperties>
</file>