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80"/>
        </w:tabs>
        <w:spacing w:after="6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EXTRAKT z technické specifikace ISO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Extrakt nenahrazuje samotnou technickou normu, je pouze informativním materiálem o normě.</w:t>
      </w:r>
    </w:p>
    <w:tbl>
      <w:tblPr>
        <w:tblStyle w:val="Table1"/>
        <w:tblW w:w="9923.0" w:type="dxa"/>
        <w:jc w:val="left"/>
        <w:tblBorders>
          <w:top w:color="000000" w:space="0" w:sz="12" w:val="single"/>
          <w:bottom w:color="000000" w:space="0" w:sz="12" w:val="single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cantSplit w:val="0"/>
          <w:trHeight w:val="1700" w:hRule="atLeast"/>
          <w:tblHeader w:val="0"/>
        </w:trPr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="340" w:lineRule="auto"/>
              <w:ind w:left="0" w:right="567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</w:t>
              <w:br w:type="textWrapping"/>
              <w:t xml:space="preserve">Dopravní a cestovní informace v dopravním protokolu expertní skupiny, druhá generace (TPEG2) – Část 10: Informace o podmíněném přístupu</w:t>
            </w:r>
          </w:p>
        </w:tc>
        <w:tc>
          <w:tcPr/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3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3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ISO/TS 21219-10</w:t>
              <w:br w:type="textWrapping"/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3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</w:tbl>
    <w:p w:rsidR="00000000" w:rsidDel="00000000" w:rsidP="00000000" w:rsidRDefault="00000000" w:rsidRPr="00000000" w14:paraId="00000008">
      <w:pPr>
        <w:keepNext w:val="1"/>
        <w:keepLines w:val="1"/>
        <w:pageBreakBefore w:val="0"/>
        <w:tabs>
          <w:tab w:val="right" w:leader="none" w:pos="9923"/>
        </w:tabs>
        <w:spacing w:after="360" w:before="240" w:lineRule="auto"/>
        <w:jc w:val="right"/>
        <w:rPr>
          <w:sz w:val="28"/>
          <w:szCs w:val="28"/>
        </w:rPr>
      </w:pPr>
      <w:bookmarkStart w:colFirst="0" w:colLast="0" w:name="_gjdgxs" w:id="0"/>
      <w:bookmarkEnd w:id="0"/>
      <w:r>
        <w:rPr>
          <w:sz w:val="28"/>
          <w:szCs w:val="28"/>
          <w:rtl w:val="0"/>
        </w:rPr>
        <w:t xml:space="preserve">Vydána 2016, 7 stran</w:t>
      </w:r>
    </w:p>
    <w:p w:rsidR="00000000" w:rsidDel="00000000" w:rsidP="00000000" w:rsidRDefault="00000000" w:rsidRPr="00000000" w14:paraId="00000009">
      <w:pPr>
        <w:pStyle w:val="Heading1"/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B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000000" w:rsidDel="00000000" w:rsidP="00000000" w:rsidRDefault="00000000" w:rsidRPr="00000000" w14:paraId="0000000C">
      <w:pPr>
        <w:pageBreakBefore w:val="0"/>
        <w:spacing w:after="120" w:lineRule="auto"/>
        <w:jc w:val="both"/>
        <w:rPr/>
      </w:pPr>
      <w:r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000000" w:rsidDel="00000000" w:rsidP="00000000" w:rsidRDefault="00000000" w:rsidRPr="00000000" w14:paraId="0000000D">
      <w:pPr>
        <w:pageBreakBefore w:val="0"/>
        <w:spacing w:after="120" w:lineRule="auto"/>
        <w:jc w:val="both"/>
        <w:rPr/>
      </w:pPr>
      <w:r>
        <w:rPr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14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000000" w:rsidDel="00000000" w:rsidP="00000000" w:rsidRDefault="00000000" w:rsidRPr="00000000" w14:paraId="00000015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Tento extrakt (dále jen “popisovaný dokument”) popisuje část 10 normy TPEG, která specifikuje obálku komponenty CAI a popisuje vhodnost linkování komponent CAI se zašifrovaným obsahem v jiných komponentách služby.</w:t>
      </w:r>
    </w:p>
    <w:p w:rsidR="00000000" w:rsidDel="00000000" w:rsidP="00000000" w:rsidRDefault="00000000" w:rsidRPr="00000000" w14:paraId="0000000B">
      <w:pPr>
        <w:pageBreakBefore w:val="0"/>
        <w:spacing w:after="120" w:lineRule="auto"/>
        <w:jc w:val="both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17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8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Části přenášených informací mohou být zašifrovány a tím podmíněně zpřístupněné pouze odběratelům vlastnícím dešifrovací klíč. Tato část se zabývá poskytnutím informací o tom, které části služby jsou nějakým způsobem zašifrovány (a tím podmíněně přístupné).</w:t>
      </w:r>
    </w:p>
    <w:p w:rsidR="00000000" w:rsidDel="00000000" w:rsidP="00000000" w:rsidRDefault="00000000" w:rsidRPr="00000000" w14:paraId="00000019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Popisovaný dokument stanovuje obálku pro informace o podmíněném přístupu. Obálka je v rámci služby přenášena současně s ostatními komponentami služby a informuje o zašifrovaných komponentách. Dokument odkazuje na TPEG2-SNI a TPEG2-SWF, které stanovují, jak mají vypadat zašifrované komponenty služby a jak na ně odkazovat. Konkrétní struktura kontejneru aplikace CAI není v tomto dokumentu stanovena.</w:t>
      </w:r>
    </w:p>
    <w:p w:rsidR="00000000" w:rsidDel="00000000" w:rsidP="00000000" w:rsidRDefault="00000000" w:rsidRPr="00000000" w14:paraId="0000001A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Popisovaný dokument je vhodný pro programátory a tvůrce zašifrovaných služeb, které informuje o způsobu předávání informací o podmíněném přístupu (zašifrovaných částech služby). Pro samotnou implementaci podmíněného přístupu nestačí, zde jsou potřeba další normy, viz výše.</w:t>
      </w:r>
    </w:p>
    <w:p w:rsidR="00000000" w:rsidDel="00000000" w:rsidP="00000000" w:rsidRDefault="00000000" w:rsidRPr="00000000" w14:paraId="0000001D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 w14:paraId="0000001E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Popisovaný dokument definuje aplikaci TPEG2-CAI „podmíněného přístupu“ na úrovni komponenty služby. Ta umožňuje chránit obsah služby TPEG před neoprávněným přístupem. Dále zmiňuje správu informací o odběratelích na klientských zařízeních za účelem nastavení, prodloužení nebo zrušení předplatného na daném klientském zařízení.</w:t>
      </w:r>
    </w:p>
    <w:p w:rsidR="00000000" w:rsidDel="00000000" w:rsidP="00000000" w:rsidRDefault="00000000" w:rsidRPr="00000000" w14:paraId="0000001B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2 Souvisící normy</w:t>
      </w:r>
    </w:p>
    <w:p w:rsidR="00000000" w:rsidDel="00000000" w:rsidP="00000000" w:rsidRDefault="00000000" w:rsidRPr="00000000" w14:paraId="0000001C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Tento dokument uvádí 7 normativních odkazů na normu TPEG2 ISO 21219 části 1-6 a 9. Důležité jsou zejména TPEG2-SNI (část 5) a TPEG2-SWF (část 9).</w:t>
      </w:r>
    </w:p>
    <w:p w:rsidR="00000000" w:rsidDel="00000000" w:rsidP="00000000" w:rsidRDefault="00000000" w:rsidRPr="00000000" w14:paraId="0000001F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20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definuje dva termíny, služba a komponenta služby.</w:t>
      </w:r>
    </w:p>
    <w:p w:rsidR="00000000" w:rsidDel="00000000" w:rsidP="00000000" w:rsidRDefault="00000000" w:rsidRPr="00000000" w14:paraId="00000021">
      <w:pPr>
        <w:pageBreakBefore w:val="0"/>
        <w:spacing w:after="120" w:lineRule="auto"/>
        <w:jc w:val="both"/>
        <w:rPr/>
      </w:pPr>
      <w:bookmarkStart w:colFirst="0" w:colLast="0" w:name="_30j0zll" w:id="1"/>
      <w:bookmarkEnd w:id="1"/>
      <w:r w:rsidDel="00000000" w:rsidR="00000000" w:rsidRPr="00000000">
        <w:rPr>
          <w:b w:val="1"/>
          <w:bCs w:val="1"/>
          <w:rtl w:val="0"/>
        </w:rPr>
        <w:t xml:space="preserve">služba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(service) </w:t>
      </w:r>
      <w:r w:rsidDel="00000000" w:rsidR="00000000" w:rsidRPr="00000000">
        <w:rPr>
          <w:rtl w:val="0"/>
        </w:rPr>
        <w:t xml:space="preserve">– sbírka různých informačních toků (aplikací) logicky spojených a dodaných od poskytovatele služeb koncovému uživateli </w:t>
      </w:r>
    </w:p>
    <w:p w:rsidR="00000000" w:rsidDel="00000000" w:rsidP="00000000" w:rsidRDefault="00000000" w:rsidRPr="00000000" w14:paraId="00000022">
      <w:pPr>
        <w:pageBreakBefore w:val="0"/>
        <w:spacing w:after="120" w:lineRule="auto"/>
        <w:jc w:val="both"/>
        <w:rPr>
          <w:b w:val="1"/>
          <w:bCs w:val="1"/>
        </w:rPr>
      </w:pPr>
      <w:bookmarkStart w:colFirst="0" w:colLast="0" w:name="_1fob9te" w:id="2"/>
      <w:bookmarkEnd w:id="2"/>
      <w:r w:rsidDel="00000000" w:rsidR="00000000" w:rsidRPr="00000000">
        <w:rPr>
          <w:b w:val="1"/>
          <w:bCs w:val="1"/>
          <w:rtl w:val="0"/>
        </w:rPr>
        <w:t xml:space="preserve">komponenta služby </w:t>
      </w:r>
      <w:r w:rsidDel="00000000" w:rsidR="00000000" w:rsidRPr="00000000">
        <w:rPr>
          <w:i w:val="1"/>
          <w:iCs w:val="1"/>
          <w:rtl w:val="0"/>
        </w:rPr>
        <w:t xml:space="preserve">(service component) </w:t>
      </w:r>
      <w:r w:rsidDel="00000000" w:rsidR="00000000" w:rsidRPr="00000000">
        <w:rPr>
          <w:rtl w:val="0"/>
        </w:rPr>
        <w:t xml:space="preserve">– součást služby ze kterých může být služba poskládána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after="120" w:lineRule="auto"/>
        <w:jc w:val="both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23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24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stanoví 16 zkratek. V kapitole jsou uvedeny pouze některé zkratky částí normy TPEG. Tyto zkratky uvádíme v úvodu tohoto extraktu, proto je zde dále neuvádíme.</w:t>
      </w:r>
    </w:p>
    <w:p w:rsidR="00000000" w:rsidDel="00000000" w:rsidP="00000000" w:rsidRDefault="00000000" w:rsidRPr="00000000" w14:paraId="00000025">
      <w:pPr>
        <w:pageBreakBefore w:val="0"/>
        <w:spacing w:after="12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TPEG</w:t>
      </w:r>
      <w:r w:rsidDel="00000000" w:rsidR="00000000" w:rsidRPr="00000000">
        <w:rPr>
          <w:rtl w:val="0"/>
        </w:rPr>
        <w:tab/>
        <w:t xml:space="preserve">dopravní protokol expertní skupiny </w:t>
      </w:r>
      <w:r w:rsidDel="00000000" w:rsidR="00000000" w:rsidRPr="00000000">
        <w:rPr>
          <w:i w:val="1"/>
          <w:iCs w:val="1"/>
          <w:rtl w:val="0"/>
        </w:rPr>
        <w:t xml:space="preserve">(transport protocol experts group)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12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EncID</w:t>
        <w:tab/>
      </w:r>
      <w:r w:rsidDel="00000000" w:rsidR="00000000" w:rsidRPr="00000000">
        <w:rPr>
          <w:rtl w:val="0"/>
        </w:rPr>
        <w:t xml:space="preserve">identifikace šifrování </w:t>
      </w:r>
      <w:r w:rsidDel="00000000" w:rsidR="00000000" w:rsidRPr="00000000">
        <w:rPr>
          <w:i w:val="1"/>
          <w:iCs w:val="1"/>
          <w:rtl w:val="0"/>
        </w:rPr>
        <w:t xml:space="preserve">(encryption identifier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12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AID</w:t>
        <w:tab/>
      </w:r>
      <w:r w:rsidDel="00000000" w:rsidR="00000000" w:rsidRPr="00000000">
        <w:rPr>
          <w:rtl w:val="0"/>
        </w:rPr>
        <w:t xml:space="preserve">identifikace aplikace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iCs w:val="1"/>
          <w:rtl w:val="0"/>
        </w:rPr>
        <w:t xml:space="preserve">application identification)</w:t>
      </w:r>
    </w:p>
    <w:p w:rsidR="00000000" w:rsidDel="00000000" w:rsidP="00000000" w:rsidRDefault="00000000" w:rsidRPr="00000000" w14:paraId="00000028">
      <w:pPr>
        <w:pageBreakBefore w:val="0"/>
        <w:spacing w:after="12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CAI</w:t>
        <w:tab/>
      </w:r>
      <w:r w:rsidDel="00000000" w:rsidR="00000000" w:rsidRPr="00000000">
        <w:rPr>
          <w:rtl w:val="0"/>
        </w:rPr>
        <w:t xml:space="preserve">informace o podmíněném přístupu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iCs w:val="1"/>
          <w:rtl w:val="0"/>
        </w:rPr>
        <w:t xml:space="preserve">conditional access information)</w:t>
      </w:r>
    </w:p>
    <w:p w:rsidR="00000000" w:rsidDel="00000000" w:rsidP="00000000" w:rsidRDefault="00000000" w:rsidRPr="00000000" w14:paraId="0000000B">
      <w:pPr>
        <w:pageBreakBefore w:val="0"/>
        <w:spacing w:after="120" w:lineRule="auto"/>
        <w:jc w:val="both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A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5 Podmínky a omezení aplikace</w:t>
      </w:r>
    </w:p>
    <w:p w:rsidR="00000000" w:rsidDel="00000000" w:rsidP="00000000" w:rsidRDefault="00000000" w:rsidRPr="00000000" w14:paraId="0000002B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1/2 strany) nejprve vymezuje použití identifikátoru aplikace (AID) v rámci informací o službě; každá „aplikace“ TPEG má svůj identifikátor stanovený v části 1 normy (TPEG-INV). AID je použit v TPEG2-SNI k indikaci, jakým způsobem má dekodér pracovat s předávaným obsahem.</w:t>
      </w:r>
    </w:p>
    <w:p w:rsidR="00000000" w:rsidDel="00000000" w:rsidP="00000000" w:rsidRDefault="00000000" w:rsidRPr="00000000" w14:paraId="0000002C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Dále se věnuje způsobu předání informace o verzi aplikace. Verze je klíčová z pohledu dekodéru, jednotlivé verze stejné aplikace se totiž mohou od sebe lišit strukturou, obsahem, atp. Princip přidělování verzí je stanoven v popisovaném dokumentu.</w:t>
      </w:r>
    </w:p>
    <w:p w:rsidR="00000000" w:rsidDel="00000000" w:rsidP="00000000" w:rsidRDefault="00000000" w:rsidRPr="00000000" w14:paraId="0000002D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CAI používá rámec komponent služby TPEG s CRC daty dle specifikace v TPEG2-UXCR.</w:t>
      </w:r>
    </w:p>
    <w:p w:rsidR="00000000" w:rsidDel="00000000" w:rsidP="00000000" w:rsidRDefault="00000000" w:rsidRPr="00000000" w14:paraId="0000002E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6 Metodika podmíněného přístupu</w:t>
      </w:r>
    </w:p>
    <w:p w:rsidR="00000000" w:rsidDel="00000000" w:rsidP="00000000" w:rsidRDefault="00000000" w:rsidRPr="00000000" w14:paraId="0000002F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 strana) uvádí, že podmíněný přístup je stanoven v normách TEPG2-SFW a TPEG2-SNI jako funkce aplikovaná na úrovni rámce služby či komponent služby. Šifrovací metoda je indikovaná pomocí identifikátoru šifrování (EncID) přímo v rámci služby či pro její komponenty prostřednictvím tabulky GST1.</w:t>
      </w:r>
    </w:p>
    <w:p w:rsidR="00000000" w:rsidDel="00000000" w:rsidP="00000000" w:rsidRDefault="00000000" w:rsidRPr="00000000" w14:paraId="00000030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Kapitola dále uvádí, že k dešifrování zašifrovaného obsahu je zapotřebí někde přenášet informace o použitém způsobu šifrování, o tom, co je a co není zašifrováno nezávisle na zašifrovaném obsahu. Ideálním způsobem, jak tyto informace přenášet, je prostřednictvím další komponenty služby s vyhrazeným AID.</w:t>
      </w:r>
    </w:p>
    <w:p w:rsidR="00000000" w:rsidDel="00000000" w:rsidP="00000000" w:rsidRDefault="00000000" w:rsidRPr="00000000" w14:paraId="00000031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Některé komponenty služby mohou být zašifrovány jedním (stejným) klíčem, zatímco jiné komponenty jiným. To umožňuje prodávat „balíčky“ služeb (pro všechny komponenty „balíčku“ je použit stejný šifrovací klíč). </w:t>
      </w:r>
    </w:p>
    <w:p w:rsidR="00000000" w:rsidDel="00000000" w:rsidP="00000000" w:rsidRDefault="00000000" w:rsidRPr="00000000" w14:paraId="00000032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Každá zašifrovaná komponenta služby musí být propojena s relevantní komponentou CAI nesoucí informace o podmíněném přístupu. Toto se řeší prostřednictvím tabulky GST-6 Odkazy CAI.</w:t>
      </w:r>
    </w:p>
    <w:p w:rsidR="00000000" w:rsidDel="00000000" w:rsidP="00000000" w:rsidRDefault="00000000" w:rsidRPr="00000000" w14:paraId="00000033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Dále tato kapitola uvádí příklad, kdy rámec služby obsahuje 9 komponent. Komponentu SNI, dále jednu nezašifrovanou komponentu TEC a 2 zašifrované TEC (stejným klíčem), jednu zašifrovanou a nezašifrovanou komponentu PKI a dále 3 komponenty CAI. První pro indikaci skupiny TEC, druhou pro indikaci komponenty PKI a třetí pro všechny zašifrované komponenty dohromady.</w:t>
      </w:r>
    </w:p>
    <w:p w:rsidR="00000000" w:rsidDel="00000000" w:rsidP="00000000" w:rsidRDefault="00000000" w:rsidRPr="00000000" w14:paraId="00000034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Metodika dále uvádí, že popisovaný dokument stanovuje obálku, do které musí být teprve vložen obsah specifický dle použitého způsobu podmíněného přístupu (dle indikace pomocí EncID).</w:t>
      </w:r>
    </w:p>
    <w:p w:rsidR="00000000" w:rsidDel="00000000" w:rsidP="00000000" w:rsidRDefault="00000000" w:rsidRPr="00000000" w14:paraId="00000035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7 Struktura CAI</w:t>
      </w:r>
    </w:p>
    <w:p w:rsidR="00000000" w:rsidDel="00000000" w:rsidP="00000000" w:rsidRDefault="00000000" w:rsidRPr="00000000" w14:paraId="00000036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 obrázek) uvádí strukturu CAI. Na rozdíl od dalších aplikací TPEG nemá aplikace CAI kontejnery pro popis polohy a řízení zprávy, skládá se pouze z jedné generické komponenty, jejíž obsah v dokumentu není stanoven.</w:t>
      </w:r>
    </w:p>
    <w:p w:rsidR="00000000" w:rsidDel="00000000" w:rsidP="00000000" w:rsidRDefault="00000000" w:rsidRPr="00000000" w14:paraId="00000037">
      <w:pPr>
        <w:pageBreakBefore w:val="0"/>
        <w:spacing w:after="120" w:lineRule="auto"/>
        <w:ind w:left="709"/>
        <w:jc w:val="center"/>
        <w:rPr/>
      </w:pPr>
      <w:r w:rsidDel="00000000" w:rsidR="00000000" w:rsidRPr="00000000">
        <w:rPr/>
        <w:drawing>
          <wp:inline distB="0" distT="0" distL="0" distR="0">
            <wp:extent cx="1705927" cy="169803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05927" cy="16980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spacing w:after="120" w:before="120" w:lineRule="auto"/>
        <w:jc w:val="center"/>
        <w:rPr>
          <w:b w:val="1"/>
          <w:bCs w:val="1"/>
        </w:rPr>
      </w:pPr>
      <w:r>
        <w:rPr>
          <w:rtl w:val="0"/>
        </w:rPr>
        <w:t xml:space="preserve">Obrázek 1 – </w:t>
      </w:r>
      <w:r>
        <w:rPr>
          <w:rtl w:val="0"/>
        </w:rPr>
        <w:t xml:space="preserve">Struktura zprávy CAI (obr. 1 dokumentu)</w:t>
      </w:r>
    </w:p>
    <w:p w:rsidR="00000000" w:rsidDel="00000000" w:rsidP="00000000" w:rsidRDefault="00000000" w:rsidRPr="00000000" w14:paraId="00000039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8 Komponenty CAI zprávy</w:t>
      </w:r>
    </w:p>
    <w:p w:rsidR="00000000" w:rsidDel="00000000" w:rsidP="00000000" w:rsidRDefault="00000000" w:rsidRPr="00000000" w14:paraId="0000003A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 odstavec) popisuje komponenty zprávy CAI. </w:t>
      </w:r>
    </w:p>
    <w:p w:rsidR="00000000" w:rsidDel="00000000" w:rsidP="00000000" w:rsidRDefault="00000000" w:rsidRPr="00000000" w14:paraId="0000003B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Uvádí, že zpráva CAI obsahuje pouze jeden kontejner, jehož struktura je definována v jiných dokumentech (normách) pro ten který systém podmíněného přístupu. Systém podmíněného přístupu je určen indikátorem šifrování (EncID) signalizovaným v SNI.</w:t>
      </w:r>
    </w:p>
    <w:p w:rsidR="00000000" w:rsidDel="00000000" w:rsidP="00000000" w:rsidRDefault="00000000" w:rsidRPr="00000000" w14:paraId="0000003C">
      <w:pPr>
        <w:pStyle w:val="Heading1"/>
        <w:pageBreakBefore w:val="0"/>
        <w:rPr/>
      </w:pPr>
      <w:r>
        <w:rPr>
          <w:rtl w:val="0"/>
        </w:rPr>
        <w:t xml:space="preserve">9 Literatura</w:t>
      </w:r>
    </w:p>
    <w:p w:rsidR="00000000" w:rsidDel="00000000" w:rsidP="00000000" w:rsidRDefault="00000000" w:rsidRPr="00000000" w14:paraId="0000003D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uvádí dva odkazy, první na předchozí verzi CAI v TPEG1 a druhý na definici XML schématu.</w:t>
      </w:r>
    </w:p>
    <w:p w:rsidR="00000000" w:rsidDel="00000000" w:rsidP="00000000" w:rsidRDefault="00000000" w:rsidRPr="00000000" w14:paraId="0000003E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Příloha A </w:t>
      </w:r>
      <w:r w:rsidDel="00000000" w:rsidR="00000000" w:rsidRPr="00000000">
        <w:rPr>
          <w:b w:val="0"/>
          <w:bCs w:val="0"/>
          <w:rtl w:val="0"/>
        </w:rPr>
        <w:t xml:space="preserve">(normativní) </w:t>
      </w:r>
      <w:r w:rsidDel="00000000" w:rsidR="00000000" w:rsidRPr="00000000">
        <w:rPr>
          <w:rtl w:val="0"/>
        </w:rPr>
        <w:t xml:space="preserve">TPEG-bin reprezentace CAI</w:t>
      </w:r>
    </w:p>
    <w:p w:rsidR="00000000" w:rsidDel="00000000" w:rsidP="00000000" w:rsidRDefault="00000000" w:rsidRPr="00000000" w14:paraId="0000003F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příloha o rozsahu 1 strany stanovuje binární reprezentaci aplikace informace o podmíněném přístupu (CAI) TPEG pro použití v DAB. Popis binární reprezentace je použit pseudokód, kde pro každé klíčové slovo zapsané struktury je znám jeho binární tvar. </w:t>
      </w:r>
    </w:p>
    <w:p w:rsidR="00000000" w:rsidDel="00000000" w:rsidP="00000000" w:rsidRDefault="00000000" w:rsidRPr="00000000" w14:paraId="00000040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Kapitola stanovuje identifikátor zprávy CAI a strukturu zprávy pomocí instrukce „external“, nestanovuje tedy strukturu obsahu, ale pouze „obálku“. </w:t>
      </w:r>
    </w:p>
    <w:p w:rsidR="00000000" w:rsidDel="00000000" w:rsidP="00000000" w:rsidRDefault="00000000" w:rsidRPr="00000000" w14:paraId="00000041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Příloha B </w:t>
      </w:r>
      <w:r w:rsidDel="00000000" w:rsidR="00000000" w:rsidRPr="00000000">
        <w:rPr>
          <w:b w:val="0"/>
          <w:bCs w:val="0"/>
          <w:rtl w:val="0"/>
        </w:rPr>
        <w:t xml:space="preserve">(normativní)</w:t>
      </w:r>
      <w:r w:rsidDel="00000000" w:rsidR="00000000" w:rsidRPr="00000000">
        <w:rPr>
          <w:rtl w:val="0"/>
        </w:rPr>
        <w:t xml:space="preserve"> TPEG-ML reprezentace CAI</w:t>
      </w:r>
    </w:p>
    <w:p w:rsidR="00000000" w:rsidDel="00000000" w:rsidP="00000000" w:rsidRDefault="00000000" w:rsidRPr="00000000" w14:paraId="00000042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příloha o rozsahu 1 strany obsahuje popis XML reprezentace a XML schéma rámce TPEG.</w:t>
      </w:r>
    </w:p>
    <w:p w:rsidR="00000000" w:rsidDel="00000000" w:rsidP="00000000" w:rsidRDefault="00000000" w:rsidRPr="00000000" w14:paraId="00000043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Stanovuje prázdné XML schéma a uvádí, že do tohoto prázdného schématu má být naimportováno externí schéma stanovující konkrétní strukturu kontejneru CAI dle požadavků té které aplikace.</w:t>
      </w:r>
    </w:p>
    <w:sectPr>
      <w:footerReference r:id="rId8" w:type="default"/>
      <w:footerReference r:id="rId9" w:type="first"/>
      <w:footerReference r:id="rId10" w:type="even"/>
      <w:pgSz w:h="16840" w:w="11907" w:orient="portrait"/>
      <w:pgMar w:bottom="1134" w:top="1134" w:left="1021" w:right="964" w:header="567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cs-CZ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pageBreakBefore w:val="0"/>
      <w:spacing w:after="60" w:before="240" w:lineRule="auto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pageBreakBefore w:val="0"/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http://www.itsterminology.org" TargetMode="Externa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