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b="0" l="0" r="0" t="0"/>
            <wp:wrapSquare wrapText="bothSides" distB="0" distT="0" distL="114300" distR="114300"/>
            <wp:docPr id="10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13: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Služba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pro informace o veřejné dopravě (TPEG2-PTS)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2025, 73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popisuje část 13 normy TPEG „Služba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 informace o veřejné dopravě (TPEG2-PTS)“, </w:t>
      </w:r>
      <w:r w:rsidDel="00000000" w:rsidR="00000000" w:rsidRPr="00000000">
        <w:rPr>
          <w:rtl w:val="0"/>
        </w:rPr>
        <w:t xml:space="preserve">dále jen “popisovaný dokument”, </w:t>
      </w:r>
      <w:r w:rsidDel="00000000" w:rsidR="00000000" w:rsidRPr="00000000">
        <w:rPr>
          <w:rtl w:val="0"/>
        </w:rPr>
        <w:t xml:space="preserve">která specifikuje službu pro informování cestujících veřejné dopravy.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stanovuje</w:t>
      </w:r>
      <w:r w:rsidDel="00000000" w:rsidR="00000000" w:rsidRPr="00000000">
        <w:rPr>
          <w:rtl w:val="0"/>
        </w:rPr>
        <w:t xml:space="preserve"> datovou strukturu aplikace </w:t>
      </w:r>
      <w:r w:rsidDel="00000000" w:rsidR="00000000" w:rsidRPr="00000000">
        <w:rPr>
          <w:rtl w:val="0"/>
        </w:rPr>
        <w:t xml:space="preserve">TPEG2-PTS včetně příkazů pro komunikaci se serverem a uvádí praktické příklady. Dokument použijí zejména analytici a vývojáři poskytovatele veřejné dopravy, poskytovatele služby a výrobce </w:t>
      </w:r>
      <w:r w:rsidDel="00000000" w:rsidR="00000000" w:rsidRPr="00000000">
        <w:rPr>
          <w:rtl w:val="0"/>
        </w:rPr>
        <w:t xml:space="preserve">koncových uživatelských zařízení při návrhu a výrobě SW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8"/>
      <w:bookmarkEnd w:id="8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TPEG2-PTS (dále jen PTS) se zaměřuje specifikaci služby poskytování informací o veřejné dopravě, jazykově nezávislé a pokrývající všechny druhy meziměstské i městské dopravy. Zaměřuje se na tři hlavní případy užití: </w:t>
      </w:r>
      <w:r w:rsidDel="00000000" w:rsidR="00000000" w:rsidRPr="00000000">
        <w:rPr>
          <w:b w:val="1"/>
          <w:rtl w:val="0"/>
        </w:rPr>
        <w:t xml:space="preserve">Informace o </w:t>
      </w:r>
      <w:r w:rsidDel="00000000" w:rsidR="00000000" w:rsidRPr="00000000">
        <w:rPr>
          <w:b w:val="1"/>
          <w:rtl w:val="0"/>
        </w:rPr>
        <w:t xml:space="preserve">výstrahách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Informace o jízdních řádech</w:t>
      </w:r>
      <w:r w:rsidDel="00000000" w:rsidR="00000000" w:rsidRPr="00000000">
        <w:rPr>
          <w:rtl w:val="0"/>
        </w:rPr>
        <w:t xml:space="preserve">, jak plánovaných, tak v reálném čase a </w:t>
      </w:r>
      <w:r w:rsidDel="00000000" w:rsidR="00000000" w:rsidRPr="00000000">
        <w:rPr>
          <w:b w:val="1"/>
          <w:rtl w:val="0"/>
        </w:rPr>
        <w:t xml:space="preserve">Individuální požadavky na informace o cestě. </w:t>
      </w:r>
      <w:r w:rsidDel="00000000" w:rsidR="00000000" w:rsidRPr="00000000">
        <w:rPr>
          <w:rtl w:val="0"/>
        </w:rPr>
        <w:t xml:space="preserve">Na rozdíl od prvních dvou vyžaduje poslední případ užití obousměrnou komunikaci </w:t>
      </w:r>
      <w:r w:rsidDel="00000000" w:rsidR="00000000" w:rsidRPr="00000000">
        <w:rPr>
          <w:rtl w:val="0"/>
        </w:rPr>
        <w:t xml:space="preserve">vyžadující zpětný kanál. </w:t>
      </w:r>
      <w:r w:rsidDel="00000000" w:rsidR="00000000" w:rsidRPr="00000000">
        <w:rPr>
          <w:rtl w:val="0"/>
        </w:rPr>
        <w:t xml:space="preserve">Aplikace PTS neposkytuje informace o jízdném.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hanging="2"/>
        <w:rPr/>
      </w:pPr>
      <w:r w:rsidDel="00000000" w:rsidR="00000000" w:rsidRPr="00000000">
        <w:rPr>
          <w:rtl w:val="0"/>
        </w:rPr>
        <w:t xml:space="preserve">POZN: Termíny služba, aplikace a struktura jsou zaměňovány, kontextu TPEG totiž znamenají totéž.</w:t>
      </w:r>
    </w:p>
    <w:p w:rsidR="00000000" w:rsidDel="00000000" w:rsidP="00000000" w:rsidRDefault="00000000" w:rsidRPr="00000000" w14:paraId="00000016">
      <w:pPr>
        <w:ind w:hanging="2"/>
        <w:rPr/>
      </w:pPr>
      <w:r w:rsidDel="00000000" w:rsidR="00000000" w:rsidRPr="00000000">
        <w:rPr>
          <w:rtl w:val="0"/>
        </w:rPr>
        <w:t xml:space="preserve">POZN: Normy TPEG jsou strukturovány hierarchicky: nejprve začínají schématem (úroveň 0), poté definují jednotlivé komponenty (úroveň 1), ve kterých jsou použity datové typy a struktury (úroveň 2). Toto se odráží na struktuře kapitol norem, která je pro všechny normy TPEG stejná.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7"/>
      <w:bookmarkEnd w:id="7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normativní odkazy na normy ISO 21219-1 (úvod, číslování a verze), ISO 21219-7 (kontejner pro odkazování na polohu), ISO 21219-9 (informace o službách a sítích), ISO 21219-14 (informace o parkování) a ISO 21219-15 (ucelené informace o dopravních událostech).</w:t>
      </w:r>
    </w:p>
    <w:p w:rsidR="00000000" w:rsidDel="00000000" w:rsidP="00000000" w:rsidRDefault="00000000" w:rsidRPr="00000000" w14:paraId="00000017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9"/>
      <w:bookmarkEnd w:id="9"/>
      <w:r w:rsidDel="00000000" w:rsidR="00000000" w:rsidRPr="00000000">
        <w:rPr>
          <w:color w:val="000000"/>
          <w:rtl w:val="0"/>
        </w:rPr>
        <w:t xml:space="preserve">Tato kapitola definuje 15 termínů, jedná se zejména o názvy atributů. Například: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Trasa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i w:val="1"/>
          <w:color w:val="000000"/>
          <w:rtl w:val="0"/>
        </w:rPr>
        <w:t xml:space="preserve">Route</w:t>
      </w:r>
      <w:r w:rsidDel="00000000" w:rsidR="00000000" w:rsidRPr="00000000">
        <w:rPr>
          <w:color w:val="000000"/>
          <w:rtl w:val="0"/>
        </w:rPr>
        <w:t xml:space="preserve">) - uspořádaný seznam umístěných bodů, které vymezují jednu trasu v silniční (nebo železniční) síti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StopPlace</w:t>
      </w:r>
      <w:r w:rsidDel="00000000" w:rsidR="00000000" w:rsidRPr="00000000">
        <w:rPr>
          <w:color w:val="000000"/>
          <w:rtl w:val="0"/>
        </w:rPr>
        <w:t xml:space="preserve"> (S</w:t>
      </w:r>
      <w:r w:rsidDel="00000000" w:rsidR="00000000" w:rsidRPr="00000000">
        <w:rPr>
          <w:i w:val="1"/>
          <w:color w:val="000000"/>
          <w:rtl w:val="0"/>
        </w:rPr>
        <w:t xml:space="preserve">topPlace</w:t>
      </w:r>
      <w:r w:rsidDel="00000000" w:rsidR="00000000" w:rsidRPr="00000000">
        <w:rPr>
          <w:color w:val="000000"/>
          <w:rtl w:val="0"/>
        </w:rPr>
        <w:t xml:space="preserve">) - jedno nebo více míst, kde mohou vozidla zastavit a kde mohou cestující nastoupit nebo vystoupit z vozidel nebo se připravit na cestu, a která budou mít obvykle jeden nebo více známých názvů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plikace </w:t>
      </w:r>
      <w:r w:rsidDel="00000000" w:rsidR="00000000" w:rsidRPr="00000000">
        <w:rPr>
          <w:rtl w:val="0"/>
        </w:rPr>
        <w:t xml:space="preserve">(application) - </w:t>
      </w:r>
      <w:r w:rsidDel="00000000" w:rsidR="00000000" w:rsidRPr="00000000">
        <w:rPr>
          <w:rtl w:val="0"/>
        </w:rPr>
        <w:t xml:space="preserve">v TPEG specifikacích označuje konkrétní podmnožiny TPEG struktury; definuje slovníky pro určitý typ zpráv, například informace o parkování nebo dopravě; každá TPEG aplikace má unikátní číslo, tzv. AID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C">
      <w:pPr>
        <w:pStyle w:val="Heading1"/>
        <w:ind w:left="0" w:hanging="2"/>
        <w:rPr/>
      </w:pPr>
      <w:bookmarkStart w:colFirst="0" w:colLast="0" w:name="_heading=h.k2373fclpmbw" w:id="10"/>
      <w:bookmarkEnd w:id="10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</w:rPr>
      </w:pPr>
      <w:r w:rsidDel="00000000" w:rsidR="00000000" w:rsidRPr="00000000">
        <w:rPr>
          <w:color w:val="000000"/>
          <w:rtl w:val="0"/>
        </w:rPr>
        <w:t xml:space="preserve">Tato kapitola stanovuje 1 zkratku, OJP, která však není v textu normy použita. </w:t>
      </w:r>
      <w:r w:rsidDel="00000000" w:rsidR="00000000" w:rsidRPr="00000000">
        <w:rPr>
          <w:rtl w:val="0"/>
        </w:rPr>
        <w:t xml:space="preserve">Další zkratky uvádí </w:t>
      </w:r>
      <w:r w:rsidDel="00000000" w:rsidR="00000000" w:rsidRPr="00000000">
        <w:rPr>
          <w:color w:val="000000"/>
          <w:rtl w:val="0"/>
        </w:rPr>
        <w:t xml:space="preserve">odkazem na </w:t>
      </w:r>
      <w:r w:rsidDel="00000000" w:rsidR="00000000" w:rsidRPr="00000000">
        <w:rPr>
          <w:color w:val="000000"/>
          <w:rtl w:val="0"/>
        </w:rPr>
        <w:t xml:space="preserve">další </w:t>
      </w:r>
      <w:r w:rsidDel="00000000" w:rsidR="00000000" w:rsidRPr="00000000">
        <w:rPr>
          <w:color w:val="000000"/>
          <w:rtl w:val="0"/>
        </w:rPr>
        <w:t xml:space="preserve">normy (viz souvisící normy). Zkratka důležitá z pohledu tohoto extraktu je: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hanging="2"/>
        <w:rPr>
          <w:b w:val="1"/>
        </w:rPr>
      </w:pPr>
      <w:r w:rsidDel="00000000" w:rsidR="00000000" w:rsidRPr="00000000">
        <w:rPr>
          <w:b w:val="1"/>
          <w:rtl w:val="0"/>
        </w:rPr>
        <w:t xml:space="preserve">PTS</w:t>
      </w: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Služba informací o veřejné dopravě </w:t>
      </w:r>
      <w:r w:rsidDel="00000000" w:rsidR="00000000" w:rsidRPr="00000000">
        <w:rPr>
          <w:i w:val="1"/>
          <w:rtl w:val="0"/>
        </w:rPr>
        <w:t xml:space="preserve">(Public transport information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0">
      <w:pPr>
        <w:pStyle w:val="Heading1"/>
        <w:ind w:left="0" w:hanging="2"/>
        <w:rPr/>
      </w:pPr>
      <w:bookmarkStart w:colFirst="0" w:colLast="0" w:name="_heading=h.qfqfpgofc94p" w:id="11"/>
      <w:bookmarkEnd w:id="11"/>
      <w:r w:rsidDel="00000000" w:rsidR="00000000" w:rsidRPr="00000000">
        <w:rPr>
          <w:rtl w:val="0"/>
        </w:rPr>
        <w:t xml:space="preserve">5 Podmínky a omezení </w:t>
      </w:r>
      <w:r w:rsidDel="00000000" w:rsidR="00000000" w:rsidRPr="00000000">
        <w:rPr>
          <w:rtl w:val="0"/>
        </w:rPr>
        <w:t xml:space="preserve">aplikace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12"/>
      <w:bookmarkEnd w:id="12"/>
      <w:r w:rsidDel="00000000" w:rsidR="00000000" w:rsidRPr="00000000">
        <w:rPr>
          <w:color w:val="000000"/>
          <w:rtl w:val="0"/>
        </w:rPr>
        <w:t xml:space="preserve">Tato kapitola (rozsah 1,5 strany) </w:t>
      </w:r>
      <w:r w:rsidDel="00000000" w:rsidR="00000000" w:rsidRPr="00000000">
        <w:rPr>
          <w:rtl w:val="0"/>
        </w:rPr>
        <w:t xml:space="preserve">vymezuje </w:t>
      </w:r>
      <w:r w:rsidDel="00000000" w:rsidR="00000000" w:rsidRPr="00000000">
        <w:rPr>
          <w:rtl w:val="0"/>
        </w:rPr>
        <w:t xml:space="preserve">termín aplikace (viz termíny a definice) a to, že identifikátor aplikace PTS je stanovený 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TS 21219-1. </w:t>
      </w:r>
      <w:r w:rsidDel="00000000" w:rsidR="00000000" w:rsidRPr="00000000">
        <w:rPr>
          <w:rtl w:val="0"/>
        </w:rPr>
        <w:t xml:space="preserve">Kapitola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b w:val="1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je klíčová z pohledu dekodéru, jednotlivé verze stejné aplikace se totiž mohou od sebe lišit strukturou</w:t>
      </w:r>
      <w:r w:rsidDel="00000000" w:rsidR="00000000" w:rsidRPr="00000000">
        <w:rPr>
          <w:rtl w:val="0"/>
        </w:rPr>
        <w:t xml:space="preserve"> č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obsahem. Určuje </w:t>
      </w:r>
      <w:r w:rsidDel="00000000" w:rsidR="00000000" w:rsidRPr="00000000">
        <w:rPr>
          <w:b w:val="1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složena, tedy z kontejner</w:t>
      </w:r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pro management zpráv (MMC), pro popis aplikace (ADC) a pro odkazování na polohu (LRC).</w:t>
      </w:r>
      <w:r w:rsidDel="00000000" w:rsidR="00000000" w:rsidRPr="00000000">
        <w:rPr>
          <w:rtl w:val="0"/>
        </w:rPr>
        <w:t xml:space="preserve"> Uvádí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požadavek na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zpětnou kompatibilitu</w:t>
      </w:r>
      <w:r w:rsidDel="00000000" w:rsidR="00000000" w:rsidRPr="00000000">
        <w:rPr>
          <w:rtl w:val="0"/>
        </w:rPr>
        <w:t xml:space="preserve"> dekodérů,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přeskočením neznámých částí zprávy dekodérem</w:t>
      </w:r>
      <w:r w:rsidDel="00000000" w:rsidR="00000000" w:rsidRPr="00000000">
        <w:rPr>
          <w:rtl w:val="0"/>
        </w:rPr>
        <w:t xml:space="preserve">. Vymezuje použití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rámce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2">
      <w:pPr>
        <w:pStyle w:val="Heading1"/>
        <w:ind w:left="0" w:hanging="2"/>
        <w:rPr/>
      </w:pPr>
      <w:bookmarkStart w:colFirst="0" w:colLast="0" w:name="_heading=h.70y3xb1dvgqi" w:id="13"/>
      <w:bookmarkEnd w:id="13"/>
      <w:r w:rsidDel="00000000" w:rsidR="00000000" w:rsidRPr="00000000">
        <w:rPr>
          <w:rtl w:val="0"/>
        </w:rPr>
        <w:t xml:space="preserve">6 </w:t>
      </w:r>
      <w:r w:rsidDel="00000000" w:rsidR="00000000" w:rsidRPr="00000000">
        <w:rPr>
          <w:rtl w:val="0"/>
        </w:rPr>
        <w:t xml:space="preserve">Struktura zprávy 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d34og8" w:id="14"/>
      <w:bookmarkEnd w:id="14"/>
      <w:r w:rsidDel="00000000" w:rsidR="00000000" w:rsidRPr="00000000">
        <w:rPr>
          <w:color w:val="000000"/>
          <w:rtl w:val="0"/>
        </w:rPr>
        <w:t xml:space="preserve">Tato kapitola (rozsah 2 strany, 2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brázky) obsahuje UML model zprávy aplikace </w:t>
      </w:r>
      <w:r w:rsidDel="00000000" w:rsidR="00000000" w:rsidRPr="00000000">
        <w:rPr>
          <w:rtl w:val="0"/>
        </w:rPr>
        <w:t xml:space="preserve">PTS a jedné další součásti.</w:t>
      </w:r>
    </w:p>
    <w:p w:rsidR="00000000" w:rsidDel="00000000" w:rsidP="00000000" w:rsidRDefault="00000000" w:rsidRPr="00000000" w14:paraId="00000024">
      <w:pPr>
        <w:pStyle w:val="Heading1"/>
        <w:ind w:left="0" w:hanging="2"/>
        <w:rPr/>
      </w:pPr>
      <w:bookmarkStart w:colFirst="0" w:colLast="0" w:name="_heading=h.zeeuw5iep7ap" w:id="15"/>
      <w:bookmarkEnd w:id="15"/>
      <w:r w:rsidDel="00000000" w:rsidR="00000000" w:rsidRPr="00000000">
        <w:rPr>
          <w:rtl w:val="0"/>
        </w:rPr>
        <w:t xml:space="preserve">7 Komponenty zprávy PTS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stran, 9 tabulek) popisuje jednotlivé komponenty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tl w:val="0"/>
        </w:rPr>
        <w:t xml:space="preserve">Stanovuje pro </w:t>
      </w:r>
      <w:r w:rsidDel="00000000" w:rsidR="00000000" w:rsidRPr="00000000">
        <w:rPr>
          <w:rtl w:val="0"/>
        </w:rPr>
        <w:t xml:space="preserve">zprávu</w:t>
      </w:r>
      <w:r w:rsidDel="00000000" w:rsidR="00000000" w:rsidRPr="00000000">
        <w:rPr>
          <w:rtl w:val="0"/>
        </w:rPr>
        <w:t xml:space="preserve"> PTS její základní strukturu „PTSMessage“ která obsahuje následující komponenty: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mmc: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umožňuje flexibilní použití monolitického nebo modulárního řízení zpráv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ptRequest: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požadavku na informace o veřejné dopravě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alert: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upozorněn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stopEvent: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odjezdu/příjezdu (jízdní řád) pro linku či pro zastávky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tripInfoResponse: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odpovědi na požadavek na informace o cestě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poloze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7dp8vu" w:id="16"/>
      <w:bookmarkEnd w:id="16"/>
      <w:r w:rsidDel="00000000" w:rsidR="00000000" w:rsidRPr="00000000">
        <w:rPr>
          <w:rtl w:val="0"/>
        </w:rPr>
        <w:t xml:space="preserve">Dále následují příklady 2 komponent (celkem je v normě stanoveno 16 komponent či sub-komponent).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5m2avg7m9scv" w:id="17"/>
      <w:bookmarkEnd w:id="17"/>
      <w:r w:rsidDel="00000000" w:rsidR="00000000" w:rsidRPr="00000000">
        <w:rPr>
          <w:rtl w:val="0"/>
        </w:rPr>
        <w:t xml:space="preserve">PŘÍKLAD 1: Komponenta </w:t>
      </w:r>
      <w:r w:rsidDel="00000000" w:rsidR="00000000" w:rsidRPr="00000000">
        <w:rPr>
          <w:b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typu GeoLocation, popisuje místo, pro kterou jsou informace </w:t>
      </w:r>
      <w:r w:rsidDel="00000000" w:rsidR="00000000" w:rsidRPr="00000000">
        <w:rPr>
          <w:rtl w:val="0"/>
        </w:rPr>
        <w:t xml:space="preserve">určeny</w:t>
      </w:r>
      <w:r w:rsidDel="00000000" w:rsidR="00000000" w:rsidRPr="00000000">
        <w:rPr>
          <w:rtl w:val="0"/>
        </w:rPr>
        <w:t xml:space="preserve">, např. letiště, železniční stanice, oblast, město, linka.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PŘÍKLAD 2: Komponenta </w:t>
      </w:r>
      <w:r w:rsidDel="00000000" w:rsidR="00000000" w:rsidRPr="00000000">
        <w:rPr>
          <w:b w:val="1"/>
          <w:rtl w:val="0"/>
        </w:rPr>
        <w:t xml:space="preserve">ptRequest</w:t>
      </w:r>
      <w:r w:rsidDel="00000000" w:rsidR="00000000" w:rsidRPr="00000000">
        <w:rPr>
          <w:rtl w:val="0"/>
        </w:rPr>
        <w:t xml:space="preserve"> slouží pro přenos požadavku na informace o veřejné dopravě, může obsahovat AlertRequest, StopEventRequest nebo TripInfoRequest. Struktura StopEventRequest slouží pro přenos požadavku na odjezdy/příjezdy ze zastávky (jízdní řád nebo odjezdová tabule), viz obrázek č 1.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jc w:val="center"/>
        <w:rPr/>
      </w:pPr>
      <w:r w:rsidDel="00000000" w:rsidR="00000000" w:rsidRPr="00000000">
        <w:rPr/>
        <w:drawing>
          <wp:inline distB="0" distT="0" distL="0" distR="0">
            <wp:extent cx="5182729" cy="2357137"/>
            <wp:effectExtent b="0" l="0" r="0" t="0"/>
            <wp:docPr id="104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2729" cy="2357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1 –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snímek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celé tabulky specifikující strukturu komponenty StopEventRequest (tabulka 4 normy)</w:t>
      </w:r>
    </w:p>
    <w:p w:rsidR="00000000" w:rsidDel="00000000" w:rsidP="00000000" w:rsidRDefault="00000000" w:rsidRPr="00000000" w14:paraId="0000003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lnxbz9" w:id="18"/>
      <w:bookmarkEnd w:id="18"/>
      <w:r w:rsidDel="00000000" w:rsidR="00000000" w:rsidRPr="00000000">
        <w:rPr>
          <w:color w:val="000000"/>
          <w:rtl w:val="0"/>
        </w:rPr>
        <w:t xml:space="preserve">Tato kapitola (</w:t>
      </w:r>
      <w:r w:rsidDel="00000000" w:rsidR="00000000" w:rsidRPr="00000000">
        <w:rPr>
          <w:rtl w:val="0"/>
        </w:rPr>
        <w:t xml:space="preserve">rozsah 5 stran, 14 tabulek) obsahuje definice 13 použitých datových struktur (typů):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AlertFor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popisuje objekt, pro který je vydáno upozornění (např. zastávka, linka, trasa)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LineIdentity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linky, včetně názvu a identifikátoru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CallAtStopForLine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informace o událostech odjezdu/příjezdu pro určitou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linku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CallAtStopForPlace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informace o událostech odjezdu/příjezdu pro určitou zastávku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CallAtStopInfo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stav služby, plánované nebo odhadované časy odjezdu/příjezdu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OperatorContact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kontaktní informace pro operátora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PtServiceDescription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veřejné dopravní služby, včetně režimu a operátora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Route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seznam zastávek na trase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StopPlace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místa, kde mohou vozidla zastavit, včetně typu a přístupových funkcí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StopPoint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součást StopPlace obsahující typ, název a ID místa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TimeInfo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plánované nebo skutečné časy odjezdu/příjezdu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TripLegStructure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úseku cesty, včetně linky a časových informací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TripPreferences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preference uživatele pro výpočet cesty, včetně přístupových požadavků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Datové struktury se skládají ze složitých či jednoduchých datových objektů a tvoří základ komponent, popsaných v kapitole výše</w:t>
      </w:r>
      <w:r w:rsidDel="00000000" w:rsidR="00000000" w:rsidRPr="00000000">
        <w:rPr>
          <w:color w:val="000000"/>
          <w:rtl w:val="0"/>
        </w:rPr>
        <w:t xml:space="preserve">. </w:t>
      </w:r>
    </w:p>
    <w:p w:rsidR="00000000" w:rsidDel="00000000" w:rsidP="00000000" w:rsidRDefault="00000000" w:rsidRPr="00000000" w14:paraId="0000004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color w:val="000000"/>
          <w:rtl w:val="0"/>
        </w:rPr>
        <w:t xml:space="preserve"> stran) obsahuje definice 21 výčtových typů aplikace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(v 21 tabulkách), použitých v datových strukturách popsaných v kapitole výše. Následující tabulka jmenovitě uvádí jednotlivé tabulky (výčtové typy) a doplňuje je popisem a příkladem obsahu.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Tabulka 1 - Seznam tabulek PTS (výčtů hodnot) (zdroj: autor extraktu)</w:t>
      </w:r>
    </w:p>
    <w:tbl>
      <w:tblPr>
        <w:tblStyle w:val="Table2"/>
        <w:tblW w:w="8757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2969"/>
        <w:gridCol w:w="3119"/>
        <w:gridCol w:w="2669"/>
        <w:tblGridChange w:id="0">
          <w:tblGrid>
            <w:gridCol w:w="2969"/>
            <w:gridCol w:w="3119"/>
            <w:gridCol w:w="266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Název tabulky PTS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Definice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Příklad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pts001: ModeOfTransport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dopravního prostředku/linky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Bus service, railway service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pts017: ServiceDeliveryPointType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místa poskytování služby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Platform number, terminal gate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pts030: ContactType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kontaktu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Internet link, telephone number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pts036: AlertForType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entity, pro kterou je vydáno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Stopplace, 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pts037: AlertEvent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Událost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Closed, delays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pts038: AlertCause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Příčina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Security alert, fire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pts039: AdviceType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pokynu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 replacement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pts040: AccessFeatureType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přístupového zařízení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Single step, elevator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pts041: StopPlaceType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zastávky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Railway station, bus station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pts042: FacilityType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zařízení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Ticket shop, toilets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pts043: ServiceStatus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Stav služby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Delay, on time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pts044: StopPlaceUsage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Použití zastávky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Origin, destination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pts045: Occupancy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Obsazenost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Many seats available, full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pts100: SubmodeOfTransport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Podtyp dopravního prostředku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International air service, </w:t>
            </w:r>
          </w:p>
        </w:tc>
      </w:tr>
    </w:tbl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</w:t>
      </w:r>
      <w:r w:rsidDel="00000000" w:rsidR="00000000" w:rsidRPr="00000000">
        <w:rPr>
          <w:rtl w:val="0"/>
        </w:rPr>
        <w:t xml:space="preserve">obsahuje ukázku tabulky „pts040:AccessFeatureType” z popisovaného</w:t>
      </w:r>
      <w:r w:rsidDel="00000000" w:rsidR="00000000" w:rsidRPr="00000000">
        <w:rPr>
          <w:color w:val="000000"/>
          <w:rtl w:val="0"/>
        </w:rPr>
        <w:t xml:space="preserve"> dokumentu.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bookmarkStart w:colFirst="0" w:colLast="0" w:name="_heading=h.wpo5mx1gy36r" w:id="19"/>
      <w:bookmarkEnd w:id="19"/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Příklad </w:t>
      </w:r>
      <w:r w:rsidDel="00000000" w:rsidR="00000000" w:rsidRPr="00000000">
        <w:rPr>
          <w:b w:val="1"/>
          <w:color w:val="000000"/>
          <w:sz w:val="18"/>
          <w:szCs w:val="18"/>
          <w:u w:val="single"/>
          <w:rtl w:val="0"/>
        </w:rPr>
        <w:t xml:space="preserve">části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definice výčtového typu pts040:AccessFeatureType doplněný o překlad </w:t>
      </w:r>
      <w:r w:rsidDel="00000000" w:rsidR="00000000" w:rsidRPr="00000000">
        <w:rPr>
          <w:b w:val="1"/>
          <w:sz w:val="18"/>
          <w:szCs w:val="18"/>
          <w:rtl w:val="0"/>
        </w:rPr>
        <w:t xml:space="preserve">frází</w:t>
      </w:r>
      <w:r w:rsidDel="00000000" w:rsidR="00000000" w:rsidRPr="00000000">
        <w:rPr>
          <w:rtl w:val="0"/>
        </w:rPr>
      </w:r>
    </w:p>
    <w:tbl>
      <w:tblPr>
        <w:tblStyle w:val="Table3"/>
        <w:tblW w:w="8923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985"/>
        <w:gridCol w:w="3118"/>
        <w:gridCol w:w="4820"/>
        <w:tblGridChange w:id="0">
          <w:tblGrid>
            <w:gridCol w:w="985"/>
            <w:gridCol w:w="3118"/>
            <w:gridCol w:w="48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řeklad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unknown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single step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jeden schod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stairs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schody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escalator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eskalátor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moving walkway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pohyblivý chodník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… zkráceno 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0"/>
      <w:bookmarkEnd w:id="2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1"/>
      <w:bookmarkEnd w:id="21"/>
      <w:r w:rsidDel="00000000" w:rsidR="00000000" w:rsidRPr="00000000">
        <w:rPr>
          <w:color w:val="000000"/>
          <w:rtl w:val="0"/>
        </w:rPr>
        <w:t xml:space="preserve">Tato příloha (rozsah 12 stran) stanovuje binární reprezentaci aplikace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762625" cy="1766734"/>
            <wp:effectExtent b="0" l="0" r="0" t="0"/>
            <wp:docPr id="10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1972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7667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>
          <w:b w:val="1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</w:t>
      </w:r>
      <w:r w:rsidDel="00000000" w:rsidR="00000000" w:rsidRPr="00000000">
        <w:rPr>
          <w:b w:val="1"/>
          <w:sz w:val="18"/>
          <w:szCs w:val="18"/>
          <w:rtl w:val="0"/>
        </w:rPr>
        <w:t xml:space="preserve">2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– </w:t>
      </w:r>
      <w:r w:rsidDel="00000000" w:rsidR="00000000" w:rsidRPr="00000000">
        <w:rPr>
          <w:b w:val="1"/>
          <w:sz w:val="18"/>
          <w:szCs w:val="18"/>
          <w:rtl w:val="0"/>
        </w:rPr>
        <w:t xml:space="preserve">Příklad </w:t>
      </w:r>
      <w:r w:rsidDel="00000000" w:rsidR="00000000" w:rsidRPr="00000000">
        <w:rPr>
          <w:b w:val="1"/>
          <w:sz w:val="18"/>
          <w:szCs w:val="18"/>
          <w:u w:val="single"/>
          <w:rtl w:val="0"/>
        </w:rPr>
        <w:t xml:space="preserve">části</w:t>
      </w:r>
      <w:r w:rsidDel="00000000" w:rsidR="00000000" w:rsidRPr="00000000">
        <w:rPr>
          <w:b w:val="1"/>
          <w:sz w:val="18"/>
          <w:szCs w:val="18"/>
          <w:rtl w:val="0"/>
        </w:rPr>
        <w:t xml:space="preserve"> pseudokódu binární specifikace </w:t>
      </w:r>
      <w:r w:rsidDel="00000000" w:rsidR="00000000" w:rsidRPr="00000000">
        <w:rPr>
          <w:b w:val="1"/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b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PTSMessage </w:t>
      </w:r>
      <w:r w:rsidDel="00000000" w:rsidR="00000000" w:rsidRPr="00000000">
        <w:rPr>
          <w:b w:val="1"/>
          <w:sz w:val="18"/>
          <w:szCs w:val="18"/>
          <w:rtl w:val="0"/>
        </w:rPr>
        <w:t xml:space="preserve">(článek A.1.2 normy)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2"/>
      <w:bookmarkEnd w:id="22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PTSMessage je uveden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color w:val="000000"/>
          <w:rtl w:val="0"/>
        </w:rPr>
        <w:t xml:space="preserve">obrázku</w:t>
      </w:r>
      <w:r w:rsidDel="00000000" w:rsidR="00000000" w:rsidRPr="00000000">
        <w:rPr>
          <w:color w:val="000000"/>
          <w:rtl w:val="0"/>
        </w:rPr>
        <w:t xml:space="preserve"> 3.</w:t>
      </w:r>
    </w:p>
    <w:p w:rsidR="00000000" w:rsidDel="00000000" w:rsidP="00000000" w:rsidRDefault="00000000" w:rsidRPr="00000000" w14:paraId="0000009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, viz příklad na obrázku níže. Následně uvádí vše výše zmíněné v jednom funkčním XML schématu. </w:t>
      </w:r>
    </w:p>
    <w:tbl>
      <w:tblPr>
        <w:tblStyle w:val="Table4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&lt;xs:complexType name="PtRequest"&gt;</w:t>
            </w:r>
          </w:p>
          <w:p w:rsidR="00000000" w:rsidDel="00000000" w:rsidP="00000000" w:rsidRDefault="00000000" w:rsidRPr="00000000" w14:paraId="0000009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&lt;xs:sequence&gt;</w:t>
            </w:r>
          </w:p>
          <w:p w:rsidR="00000000" w:rsidDel="00000000" w:rsidP="00000000" w:rsidRDefault="00000000" w:rsidRPr="00000000" w14:paraId="0000009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&lt;xs:choice minOccurs="1" maxOccurs="1"&gt;</w:t>
            </w:r>
          </w:p>
          <w:p w:rsidR="00000000" w:rsidDel="00000000" w:rsidP="00000000" w:rsidRDefault="00000000" w:rsidRPr="00000000" w14:paraId="0000009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name="optionAlertRequest" type="AlertRequest" minOccurs="1" maxOccurs="1"/&gt;</w:t>
            </w:r>
          </w:p>
          <w:p w:rsidR="00000000" w:rsidDel="00000000" w:rsidP="00000000" w:rsidRDefault="00000000" w:rsidRPr="00000000" w14:paraId="0000009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name="optionStopEventRequest" type="StopEventRequest" minOccurs="1"</w:t>
            </w:r>
          </w:p>
          <w:p w:rsidR="00000000" w:rsidDel="00000000" w:rsidP="00000000" w:rsidRDefault="00000000" w:rsidRPr="00000000" w14:paraId="0000009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maxOccurs="1"/&gt;</w:t>
            </w:r>
          </w:p>
          <w:p w:rsidR="00000000" w:rsidDel="00000000" w:rsidP="00000000" w:rsidRDefault="00000000" w:rsidRPr="00000000" w14:paraId="0000009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name="optionTripInfoRequest" type="TripInfoRequest" minOccurs="1" maxOccurs="1"/&gt;</w:t>
            </w:r>
          </w:p>
          <w:p w:rsidR="00000000" w:rsidDel="00000000" w:rsidP="00000000" w:rsidRDefault="00000000" w:rsidRPr="00000000" w14:paraId="0000009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&lt;/xs:choice&gt;</w:t>
            </w:r>
          </w:p>
          <w:p w:rsidR="00000000" w:rsidDel="00000000" w:rsidP="00000000" w:rsidRDefault="00000000" w:rsidRPr="00000000" w14:paraId="0000009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&lt;/xs:sequence&gt;</w:t>
            </w:r>
          </w:p>
          <w:p w:rsidR="00000000" w:rsidDel="00000000" w:rsidP="00000000" w:rsidRDefault="00000000" w:rsidRPr="00000000" w14:paraId="0000009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4 - Výstřižek schématu XSD stanovujícího strukturu </w:t>
      </w:r>
      <w:r w:rsidDel="00000000" w:rsidR="00000000" w:rsidRPr="00000000">
        <w:rPr>
          <w:b w:val="1"/>
          <w:sz w:val="18"/>
          <w:szCs w:val="18"/>
          <w:rtl w:val="0"/>
        </w:rPr>
        <w:t xml:space="preserve">prvku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sz w:val="18"/>
          <w:szCs w:val="18"/>
          <w:rtl w:val="0"/>
        </w:rPr>
        <w:t xml:space="preserve">PtRequest (článek B.1.3 normy)</w:t>
      </w:r>
    </w:p>
    <w:p w:rsidR="00000000" w:rsidDel="00000000" w:rsidP="00000000" w:rsidRDefault="00000000" w:rsidRPr="00000000" w14:paraId="0000009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použití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18</w:t>
      </w:r>
      <w:r w:rsidDel="00000000" w:rsidR="00000000" w:rsidRPr="00000000">
        <w:rPr>
          <w:color w:val="000000"/>
          <w:rtl w:val="0"/>
        </w:rPr>
        <w:t xml:space="preserve"> stran) obsahuje konkrétní příklady pro 3 hlavní případy užití: </w:t>
      </w:r>
      <w:r w:rsidDel="00000000" w:rsidR="00000000" w:rsidRPr="00000000">
        <w:rPr>
          <w:b w:val="1"/>
          <w:color w:val="000000"/>
          <w:rtl w:val="0"/>
        </w:rPr>
        <w:t xml:space="preserve">Informace o </w:t>
      </w:r>
      <w:r w:rsidDel="00000000" w:rsidR="00000000" w:rsidRPr="00000000">
        <w:rPr>
          <w:b w:val="1"/>
          <w:color w:val="000000"/>
          <w:rtl w:val="0"/>
        </w:rPr>
        <w:t xml:space="preserve">výstrahách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b w:val="1"/>
          <w:color w:val="000000"/>
          <w:rtl w:val="0"/>
        </w:rPr>
        <w:t xml:space="preserve">Informace o jízdních řádech</w:t>
      </w:r>
      <w:r w:rsidDel="00000000" w:rsidR="00000000" w:rsidRPr="00000000">
        <w:rPr>
          <w:color w:val="000000"/>
          <w:rtl w:val="0"/>
        </w:rPr>
        <w:t xml:space="preserve">, jak plánovaných, tak v reálném čase a </w:t>
      </w:r>
      <w:r w:rsidDel="00000000" w:rsidR="00000000" w:rsidRPr="00000000">
        <w:rPr>
          <w:b w:val="1"/>
          <w:color w:val="000000"/>
          <w:rtl w:val="0"/>
        </w:rPr>
        <w:t xml:space="preserve">Individuální požadavky na informace o cestě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color w:val="000000"/>
          <w:rtl w:val="0"/>
        </w:rPr>
        <w:t xml:space="preserve"> většinou doplněné o schématické znázornění obsahu použitých komponent v daném příkladu.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rtl w:val="0"/>
        </w:rPr>
        <w:t xml:space="preserve">C.2 Výstrahy </w:t>
      </w:r>
      <w:r w:rsidDel="00000000" w:rsidR="00000000" w:rsidRPr="00000000">
        <w:rPr>
          <w:rtl w:val="0"/>
        </w:rPr>
        <w:t xml:space="preserve">uvádí příklady výstrah</w:t>
      </w:r>
      <w:r w:rsidDel="00000000" w:rsidR="00000000" w:rsidRPr="00000000">
        <w:rPr>
          <w:color w:val="000000"/>
          <w:rtl w:val="0"/>
        </w:rPr>
        <w:t xml:space="preserve">. Příklady zahrnují uzavření stanice metra, zpoždění metra v obou směrech, zrušení příměstské železniční služby a uzavření trasy autobusové linky.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C.3 Jízdní řády </w:t>
      </w:r>
      <w:r w:rsidDel="00000000" w:rsidR="00000000" w:rsidRPr="00000000">
        <w:rPr>
          <w:color w:val="000000"/>
          <w:rtl w:val="0"/>
        </w:rPr>
        <w:t xml:space="preserve">uvádí příklady pro jízdní řády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pro určitou zastávku a pro určitou linku. Příklady zahrnují odjezdový jízdní řád pro stanici metra, příjezdový jízdní řád pro železniční stanici, odjezdový jízdní řád pro letiště a jízdní řád vlaku.</w:t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C.4 Výstraha a jízdní řád </w:t>
      </w:r>
      <w:r w:rsidDel="00000000" w:rsidR="00000000" w:rsidRPr="00000000">
        <w:rPr>
          <w:color w:val="000000"/>
          <w:rtl w:val="0"/>
        </w:rPr>
        <w:t xml:space="preserve">uvádí příklad, kdy je informace o </w:t>
      </w:r>
      <w:r w:rsidDel="00000000" w:rsidR="00000000" w:rsidRPr="00000000">
        <w:rPr>
          <w:color w:val="000000"/>
          <w:rtl w:val="0"/>
        </w:rPr>
        <w:t xml:space="preserve">výstrahách</w:t>
      </w:r>
      <w:r w:rsidDel="00000000" w:rsidR="00000000" w:rsidRPr="00000000">
        <w:rPr>
          <w:color w:val="000000"/>
          <w:rtl w:val="0"/>
        </w:rPr>
        <w:t xml:space="preserve"> a aktualizovaný jízdní řád doručena ve stejné zprávě.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C.5 Požadavek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relace požadavku a odpovědi pro všechny případy použití. Pro každý případ použití definuje PTS dedikovaný požadavek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C.6 AlertRequest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výstrahách ve veřejné dopravě. Může zahrnovat požadavek na všechny aktuální výstrahy nebo na určité výstrahy pro specifické zastávky, dopravní prostředky nebo linky.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C.7 StopEventRequest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jízdních řádech. Může zahrnovat požadavek na odjezdový nebo příjezdový jízdní řád pro specifické zastávky nebo jízdní řád pro konkrétní vlak.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C.8 TripInfoRequest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individuálních cestách. Může zahrnovat požadavek na individuální cestu nebo cestu se speciálními preferencemi, jako je potřeba vozidel s </w:t>
      </w:r>
      <w:r w:rsidDel="00000000" w:rsidR="00000000" w:rsidRPr="00000000">
        <w:rPr>
          <w:rtl w:val="0"/>
        </w:rPr>
        <w:t xml:space="preserve">bezbariérovým </w:t>
      </w:r>
      <w:r w:rsidDel="00000000" w:rsidR="00000000" w:rsidRPr="00000000">
        <w:rPr>
          <w:color w:val="000000"/>
          <w:rtl w:val="0"/>
        </w:rPr>
        <w:t xml:space="preserve">vstupem a výtahy.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C.9 Odpověď na TripInfoRequest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odpovědi na požadavek. Různé cesty (návrhy cest) se objevují v samostatných zprávách. Popisují jednotlivé úseky cesty, včetně informací o veřejné dopravě, identitě linek, trase a časových informacích. Mohou zahrnovat i speciální preference, jako je potřeba vozidel s </w:t>
      </w:r>
      <w:r w:rsidDel="00000000" w:rsidR="00000000" w:rsidRPr="00000000">
        <w:rPr>
          <w:rtl w:val="0"/>
        </w:rPr>
        <w:t xml:space="preserve">bezbariérovým </w:t>
      </w:r>
      <w:r w:rsidDel="00000000" w:rsidR="00000000" w:rsidRPr="00000000">
        <w:rPr>
          <w:color w:val="000000"/>
          <w:rtl w:val="0"/>
        </w:rPr>
        <w:t xml:space="preserve">vstupem a výtahy.</w:t>
      </w:r>
    </w:p>
    <w:sectPr>
      <w:footerReference r:id="rId11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uiPriority w:val="99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table" w:styleId="af1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NCg+iKKZedsV2uLgV4cWWwK1YA==">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2024-12-01T11:02:00Z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