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tabs>
          <w:tab w:val="left" w:pos="7080"/>
          <w:tab w:val="right" w:pos="9923"/>
        </w:tabs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EXTRAKT z technické specifikace ISO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-899793</wp:posOffset>
            </wp:positionH>
            <wp:positionV relativeFrom="paragraph">
              <wp:posOffset>-1349373</wp:posOffset>
            </wp:positionV>
            <wp:extent cx="75565" cy="151765"/>
            <wp:effectExtent b="0" l="0" r="0" t="0"/>
            <wp:wrapSquare wrapText="bothSides" distB="0" distT="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Rule="auto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0" w:line="340" w:lineRule="auto"/>
              <w:ind w:left="0" w:right="567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bookmarkStart w:colFirst="0" w:colLast="0" w:name="_heading=h.30j0zll" w:id="1"/>
            <w:bookmarkEnd w:id="1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 Dopravní a cestovní informace v dopravním protokolu expertní skupiny, 2. generace (TPEG2) – Část 14: Aplikace pro informace o parkování (TPEG2-PKI)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3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ISO/TS 21219-14</w:t>
            </w:r>
          </w:p>
          <w:p w:rsidR="00000000" w:rsidDel="00000000" w:rsidP="00000000" w:rsidRDefault="00000000" w:rsidRPr="00000000" w14:paraId="00000005">
            <w:pPr>
              <w:spacing w:after="80" w:before="8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0" w:line="340" w:lineRule="auto"/>
              <w:ind w:left="0" w:right="567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pos="9923"/>
        </w:tabs>
        <w:spacing w:after="360" w:before="240" w:line="240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Vydána 2016, 50 stran</w:t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heading=h.1fob9te" w:id="2"/>
      <w:bookmarkEnd w:id="2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 </w:t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 </w:t>
      </w:r>
    </w:p>
    <w:p w:rsidR="00000000" w:rsidDel="00000000" w:rsidP="00000000" w:rsidRDefault="00000000" w:rsidRPr="00000000" w14:paraId="0000000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 </w:t>
      </w:r>
    </w:p>
    <w:p w:rsidR="00000000" w:rsidDel="00000000" w:rsidP="00000000" w:rsidRDefault="00000000" w:rsidRPr="00000000" w14:paraId="0000000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Tento extrakt (dále jen “popisovaný dokument”) popisuje část 14 normy TPEG „Aplikace pro informace o parkování” (TPEG2-PKI), která specifikuje informace o stavu parkovacího zařízení.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F">
      <w:pPr>
        <w:pStyle w:val="Heading1"/>
        <w:rPr/>
      </w:pPr>
      <w:bookmarkStart w:colFirst="0" w:colLast="0" w:name="_heading=h.2et92p0" w:id="3"/>
      <w:bookmarkEnd w:id="3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Popisovaný dokument stanovuje strukturu aplikace pro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informace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parkování. Popisovaný dokument je nezbytný pro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poskytovatele i příjemce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dopravních informací, jejich programátory, kteří pracují se samotným formátem XML či programují datové proudy pro DAB. </w:t>
      </w:r>
    </w:p>
    <w:p w:rsidR="00000000" w:rsidDel="00000000" w:rsidP="00000000" w:rsidRDefault="00000000" w:rsidRPr="00000000" w14:paraId="00000011">
      <w:pPr>
        <w:pStyle w:val="Heading1"/>
        <w:rPr/>
      </w:pPr>
      <w:bookmarkStart w:colFirst="0" w:colLast="0" w:name="_heading=h.tyjcwt" w:id="4"/>
      <w:bookmarkEnd w:id="4"/>
      <w:r w:rsidDel="00000000" w:rsidR="00000000" w:rsidRPr="00000000">
        <w:rPr>
          <w:rtl w:val="0"/>
        </w:rPr>
        <w:t xml:space="preserve">1 Předmět normy</w:t>
      </w:r>
    </w:p>
    <w:p w:rsidR="00000000" w:rsidDel="00000000" w:rsidP="00000000" w:rsidRDefault="00000000" w:rsidRPr="00000000" w14:paraId="0000001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Popisovaný dokument definuje aplikaci TPEG PKI „Aplikace pro informace o parkování“. Ta umožňuje distribuovat informace o stavu parkovišť. Jedná se nejen o informace o aktuální a očekávané obsazenosti, ale také o podrobný popis každého parkoviště, včetně provozní doby, parkovacích schémat, způsobů platby, vlastnosti vjezdů, přidružených služeb a typů parkovacího zařízení.</w:t>
      </w:r>
    </w:p>
    <w:p w:rsidR="00000000" w:rsidDel="00000000" w:rsidP="00000000" w:rsidRDefault="00000000" w:rsidRPr="00000000" w14:paraId="0000001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aplikaci informace o parkování nejsou specifikována jednotlivá parkovací místa, pouze celé parkoviště se všemi detaily souvisejícími s parkovištěm.</w:t>
      </w:r>
    </w:p>
    <w:p w:rsidR="00000000" w:rsidDel="00000000" w:rsidP="00000000" w:rsidRDefault="00000000" w:rsidRPr="00000000" w14:paraId="00000014">
      <w:pPr>
        <w:pStyle w:val="Heading1"/>
        <w:rPr/>
      </w:pPr>
      <w:r w:rsidDel="00000000" w:rsidR="00000000" w:rsidRPr="00000000">
        <w:rPr>
          <w:rtl w:val="0"/>
        </w:rPr>
        <w:t xml:space="preserve">2 Souvisící normy</w:t>
      </w:r>
    </w:p>
    <w:p w:rsidR="00000000" w:rsidDel="00000000" w:rsidP="00000000" w:rsidRDefault="00000000" w:rsidRPr="00000000" w14:paraId="0000001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Tento dokument uvádí 11 normativních odkazů na normu TPEG2 ISO 21219 části 1-9 stanovující sestavení zpráv z kontejnerů, odvození z modelu UML, vysílání zpráv a jejich signalizaci.</w:t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definuje tři termíny. Jedná se o definici kontejneru pro management zpráv (MMC), kontejneru pro popis události (ADC) a kontejneru pro odkazování na polohu (LRC). Viz. zkratky.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bookmarkStart w:colFirst="0" w:colLast="0" w:name="_heading=h.3dy6vkm" w:id="5"/>
      <w:bookmarkEnd w:id="5"/>
      <w:r w:rsidDel="00000000" w:rsidR="00000000" w:rsidRPr="00000000">
        <w:rPr>
          <w:b w:val="1"/>
          <w:rtl w:val="0"/>
        </w:rPr>
        <w:t xml:space="preserve">odkazování na polohu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(Location Referencing)</w:t>
      </w:r>
      <w:r w:rsidDel="00000000" w:rsidR="00000000" w:rsidRPr="00000000">
        <w:rPr>
          <w:rtl w:val="0"/>
        </w:rPr>
        <w:t xml:space="preserve"> – prostředky umožňující systému přesně identifikovat polohu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9">
      <w:pPr>
        <w:pStyle w:val="Heading1"/>
        <w:rPr/>
      </w:pPr>
      <w:bookmarkStart w:colFirst="0" w:colLast="0" w:name="_heading=h.1t3h5sf" w:id="6"/>
      <w:bookmarkEnd w:id="6"/>
      <w:r w:rsidDel="00000000" w:rsidR="00000000" w:rsidRPr="00000000">
        <w:rPr>
          <w:rtl w:val="0"/>
        </w:rPr>
        <w:t xml:space="preserve">4 Symboly a zkratky</w:t>
      </w:r>
    </w:p>
    <w:p w:rsidR="00000000" w:rsidDel="00000000" w:rsidP="00000000" w:rsidRDefault="00000000" w:rsidRPr="00000000" w14:paraId="0000001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stanovuje 13 zkratek reprezentujících jednotlivé části / kontejnery zprávy: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MMC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kontejner pro management zpráv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(Message Management Container) </w:t>
      </w:r>
    </w:p>
    <w:p w:rsidR="00000000" w:rsidDel="00000000" w:rsidP="00000000" w:rsidRDefault="00000000" w:rsidRPr="00000000" w14:paraId="0000001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Neuvedené, ale související jsou:</w:t>
      </w:r>
    </w:p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ADC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kontejner pro popis aplikace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(Application Data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LRC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kontejner pro odkazování na polohu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(Location Referencing Container) </w:t>
      </w:r>
    </w:p>
    <w:p w:rsidR="00000000" w:rsidDel="00000000" w:rsidP="00000000" w:rsidRDefault="00000000" w:rsidRPr="00000000" w14:paraId="0000001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PKI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aplikace pro informace o parkování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(Parking Information)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  <w:t xml:space="preserve">5 Podmínky a omezení aplikace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Identifikátor aplikace, který je stanovený pro všechny aplikace v TS 21219-1.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Verzi aplikace. Verze je klíčová z pohledu dekodéru, jednotlivé verze stejné aplikace se totiž mohou od sebe lišit strukturou, obsahem atp. 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Pořadí kontejnerů, ze kterých je zpráva složena. Zpráva se skládá z kontejneru pro management zpráv (MMC), kontejneru s dopravní aplikací (ADC) a kontejneru pro odkazování na polohu (LRC). 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Rozšiřitelnost a zpětnou kompatibilitu, jako požadavek na přeskočení neznámých částí zprávy dekodérem a specifikaci v budoucnu rozšiřitelných částí struktur TPEG zprávy.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Rámec komponent služby TPEG dle ISO/TS 21219-5.</w:t>
      </w:r>
    </w:p>
    <w:p w:rsidR="00000000" w:rsidDel="00000000" w:rsidP="00000000" w:rsidRDefault="00000000" w:rsidRPr="00000000" w14:paraId="00000027">
      <w:pPr>
        <w:pStyle w:val="Heading1"/>
        <w:rPr/>
      </w:pPr>
      <w:r w:rsidDel="00000000" w:rsidR="00000000" w:rsidRPr="00000000">
        <w:rPr>
          <w:rtl w:val="0"/>
        </w:rPr>
        <w:t xml:space="preserve">6 Komponenty zprávy PKI</w:t>
      </w:r>
    </w:p>
    <w:p w:rsidR="00000000" w:rsidDel="00000000" w:rsidP="00000000" w:rsidRDefault="00000000" w:rsidRPr="00000000" w14:paraId="0000002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12 stran, obrázky a tabulky) popisuje jednotlivé komponenty zprávy PKI. </w:t>
      </w:r>
    </w:p>
    <w:p w:rsidR="00000000" w:rsidDel="00000000" w:rsidP="00000000" w:rsidRDefault="00000000" w:rsidRPr="00000000" w14:paraId="0000002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Volně popisuje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několik různých struktur zprávy PKI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 to z důvodů dvou rozdílných obsahů. Informace o parkování musí vždy použít kontejner pro řízení zprávy (MMC). Volitelně může mít jeden popis polohy (ParkingLocation), jeden popis parkoviště (ParkingSiteDescription), několik doporučení (Advice), jeden popis současné obsazenosti (CurrentCapacity) a několik očekávaných budoucích stavů obsazenosti  (ExpectedCapacity). </w:t>
      </w:r>
    </w:p>
    <w:p w:rsidR="00000000" w:rsidDel="00000000" w:rsidP="00000000" w:rsidRDefault="00000000" w:rsidRPr="00000000" w14:paraId="0000002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(Poznámka autora extraktu: Různé použití MMC/ADC a LRC zde není popsáno do detailu, pro lepší orientaci doporučujeme například normu ISO 21219-18.)</w:t>
      </w:r>
    </w:p>
    <w:p w:rsidR="00000000" w:rsidDel="00000000" w:rsidP="00000000" w:rsidRDefault="00000000" w:rsidRPr="00000000" w14:paraId="0000002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dále obsahuje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definice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použitých datových struktur (typů). Struktury se skládají ze složitých či jednoduchých datových typů. Následující tabulka jmenovitě uvádí tyto struktury a doplňuje je popisem. </w:t>
      </w:r>
    </w:p>
    <w:tbl>
      <w:tblPr>
        <w:tblStyle w:val="Table2"/>
        <w:tblW w:w="9045.0" w:type="dxa"/>
        <w:jc w:val="left"/>
        <w:tblInd w:w="116.0" w:type="dxa"/>
        <w:tblLayout w:type="fixed"/>
        <w:tblLook w:val="0000"/>
      </w:tblPr>
      <w:tblGrid>
        <w:gridCol w:w="2534"/>
        <w:gridCol w:w="6511"/>
        <w:tblGridChange w:id="0">
          <w:tblGrid>
            <w:gridCol w:w="2534"/>
            <w:gridCol w:w="6511"/>
          </w:tblGrid>
        </w:tblGridChange>
      </w:tblGrid>
      <w:tr>
        <w:tc>
          <w:tcPr>
            <w:gridSpan w:val="2"/>
            <w:tcBorders>
              <w:bottom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1 – Seznam použitých tabulek PKI (zdroj: autor extraktu)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spacing w:after="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Struktura PKI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0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ParkingLocation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Odkaz do kontejneru pro popis polohy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2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ParkingSiteDescription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Základní popis funkcí parkoviště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4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ParkingInfo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Základní informace včetně identifikace, adresy a kontaktů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Logo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7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Odkaz na logo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8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Contact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Kontaktní informace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A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ParkingSpecification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Informace parkovacím zařízení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C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InformationFor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Informace o parkovacích stáních, rezervace pro uživatele, typ vozidla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E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SizeRestrictions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Maximální rozměry vozidla pro dané parkoviště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0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GateInfo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Informace o vjezdové bráně, včetně rozměrů a polohy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2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ParkingForEvent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Popis typu události, pro kterou je parkování zřízeno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4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ToSite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Vzdálenost, směr, cestovní čas k dosažení odkazovaného parkoviště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OpeningHours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Popis provozní doby se specifikací vozidla a uživatele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8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PricingPayment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Popis platebního schématu (od-do, kolik, …)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A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PaymentDetails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Popis platebních prostředků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C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Facilities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Popis zařízení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E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AssociatedService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Popis doplňkových služeb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0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CurrentCapacity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1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Celková stávající kapacita parkoviště s detaily stavu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2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CurrentCapacityFor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3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Stávající kapacita parkoviště podle typu vozidla a uživatele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4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ExpectedCapacity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Celková očekávaná kapacita parkoviště s odhadem stavu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ExpectedCapacityFor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7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Očekávaná kapacita parkoviště podle typu vozidla a uživatele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8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Advice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Doporučení ohledně parkování</w:t>
            </w:r>
          </w:p>
        </w:tc>
      </w:tr>
    </w:tbl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Následující obrázek ukazuje model tříd zprávy o parkování.</w:t>
      </w:r>
    </w:p>
    <w:p w:rsidR="00000000" w:rsidDel="00000000" w:rsidP="00000000" w:rsidRDefault="00000000" w:rsidRPr="00000000" w14:paraId="0000005C">
      <w:pPr>
        <w:keepNext w:val="1"/>
        <w:rPr/>
      </w:pPr>
      <w:r w:rsidDel="00000000" w:rsidR="00000000" w:rsidRPr="00000000">
        <w:rPr/>
        <w:drawing>
          <wp:inline distB="114300" distT="114300" distL="114300" distR="114300">
            <wp:extent cx="5763260" cy="6134100"/>
            <wp:effectExtent b="0" l="0" r="0" t="0"/>
            <wp:docPr id="9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613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Obrázek  1 – UML model tříd aplikace PKI (obr. 4 normy)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Následující tabulka ukazuje jednu z definicí tříd, skládající se z jednoho výčtového typu (pki011) a dvou krátkých textových řetězců. </w:t>
      </w:r>
    </w:p>
    <w:p w:rsidR="00000000" w:rsidDel="00000000" w:rsidP="00000000" w:rsidRDefault="00000000" w:rsidRPr="00000000" w14:paraId="0000005F">
      <w:pPr>
        <w:rPr>
          <w:b w:val="1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2 – třída „AssociatedService“ (tab. 17 normy)</w:t>
      </w:r>
    </w:p>
    <w:tbl>
      <w:tblPr>
        <w:tblStyle w:val="Table3"/>
        <w:tblW w:w="9078.0" w:type="dxa"/>
        <w:jc w:val="left"/>
        <w:tblInd w:w="172.0" w:type="dxa"/>
        <w:tblLayout w:type="fixed"/>
        <w:tblLook w:val="0000"/>
      </w:tblPr>
      <w:tblGrid>
        <w:gridCol w:w="1478"/>
        <w:gridCol w:w="2435"/>
        <w:gridCol w:w="970"/>
        <w:gridCol w:w="4195"/>
        <w:tblGridChange w:id="0">
          <w:tblGrid>
            <w:gridCol w:w="1478"/>
            <w:gridCol w:w="2435"/>
            <w:gridCol w:w="970"/>
            <w:gridCol w:w="4195"/>
          </w:tblGrid>
        </w:tblGridChange>
      </w:tblGrid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1">
            <w:pPr>
              <w:keepNext w:val="1"/>
              <w:keepLines w:val="1"/>
              <w:spacing w:after="0" w:line="240" w:lineRule="auto"/>
              <w:jc w:val="center"/>
              <w:rPr>
                <w:b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000000"/>
                <w:sz w:val="18"/>
                <w:szCs w:val="18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2">
            <w:pPr>
              <w:keepNext w:val="1"/>
              <w:keepLines w:val="1"/>
              <w:spacing w:after="0" w:line="240" w:lineRule="auto"/>
              <w:jc w:val="center"/>
              <w:rPr>
                <w:b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000000"/>
                <w:sz w:val="18"/>
                <w:szCs w:val="18"/>
                <w:rtl w:val="0"/>
              </w:rPr>
              <w:t xml:space="preserve">Type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keepNext w:val="1"/>
              <w:keepLines w:val="1"/>
              <w:spacing w:after="0" w:line="240" w:lineRule="auto"/>
              <w:jc w:val="center"/>
              <w:rPr>
                <w:b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000000"/>
                <w:sz w:val="18"/>
                <w:szCs w:val="18"/>
                <w:rtl w:val="0"/>
              </w:rPr>
              <w:t xml:space="preserve">Multiplicity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4">
            <w:pPr>
              <w:keepNext w:val="1"/>
              <w:keepLines w:val="1"/>
              <w:spacing w:after="0" w:line="240" w:lineRule="auto"/>
              <w:jc w:val="center"/>
              <w:rPr>
                <w:b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000000"/>
                <w:sz w:val="18"/>
                <w:szCs w:val="18"/>
                <w:rtl w:val="0"/>
              </w:rPr>
              <w:t xml:space="preserve">Description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5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serviceType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pki011:AssociatedService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7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8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The type of the associated service.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serviceName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A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LocalisedShortString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B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0..*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C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Description of the service in specified languages.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D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operator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E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LocalisedShortString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F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0..*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0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Language specific strings representing the name and/or company of the operator.</w:t>
            </w:r>
          </w:p>
        </w:tc>
      </w:tr>
    </w:tbl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rPr/>
      </w:pPr>
      <w:r w:rsidDel="00000000" w:rsidR="00000000" w:rsidRPr="00000000">
        <w:rPr>
          <w:rtl w:val="0"/>
        </w:rPr>
        <w:t xml:space="preserve">7 Tabulky PKI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Tato kapitola (rozsah 14 stran) obsahuje definice výčtových typů aplikace PKI (ve 22 tabulkách). Následující tabulka jmenovitě uvádí jednotlivé tabulky a doplňuje je popisem a příkladem obsahu.</w:t>
      </w:r>
    </w:p>
    <w:tbl>
      <w:tblPr>
        <w:tblStyle w:val="Table4"/>
        <w:tblW w:w="9060.0" w:type="dxa"/>
        <w:jc w:val="left"/>
        <w:tblInd w:w="131.0" w:type="dxa"/>
        <w:tblLayout w:type="fixed"/>
        <w:tblLook w:val="0000"/>
      </w:tblPr>
      <w:tblGrid>
        <w:gridCol w:w="2671"/>
        <w:gridCol w:w="3969"/>
        <w:gridCol w:w="2420"/>
        <w:tblGridChange w:id="0">
          <w:tblGrid>
            <w:gridCol w:w="2671"/>
            <w:gridCol w:w="3969"/>
            <w:gridCol w:w="2420"/>
          </w:tblGrid>
        </w:tblGridChange>
      </w:tblGrid>
      <w:tr>
        <w:tc>
          <w:tcPr>
            <w:gridSpan w:val="3"/>
            <w:tcBorders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4">
            <w:pPr>
              <w:keepNext w:val="0"/>
              <w:keepLines w:val="1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3 – Seznam použitých tabulek PKI (zdroj: autor extraktu)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7">
            <w:pPr>
              <w:spacing w:after="0" w:lineRule="auto"/>
              <w:rPr>
                <w:b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000000"/>
                <w:sz w:val="18"/>
                <w:szCs w:val="18"/>
                <w:rtl w:val="0"/>
              </w:rPr>
              <w:t xml:space="preserve">Tabulka PKI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8">
            <w:pPr>
              <w:spacing w:after="0" w:lineRule="auto"/>
              <w:rPr>
                <w:b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000000"/>
                <w:sz w:val="18"/>
                <w:szCs w:val="18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9">
            <w:pPr>
              <w:spacing w:after="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Obsah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A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pki001:VehicleType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B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vozidel.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17: car with caravan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D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pki002:ParkingType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E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parkovišť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F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Př.: 18: kiss and ride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0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pki003:UserType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1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uživatelů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Př: 17: employees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3">
            <w:pPr>
              <w:spacing w:after="0" w:lineRule="auto"/>
              <w:rPr>
                <w:color w:val="000000"/>
                <w:sz w:val="18"/>
                <w:szCs w:val="18"/>
              </w:rPr>
            </w:pPr>
            <w:bookmarkStart w:colFirst="0" w:colLast="0" w:name="_heading=h.4d34og8" w:id="7"/>
            <w:bookmarkEnd w:id="7"/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pki004:FuelType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4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pohonných hmot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Př: 8: hydrogen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pki005:AvailableFeatures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7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vybavení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7: shower facility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pki006:EventType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A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událostí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5: flower event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C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pki007:Reservability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D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rezervací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2: reservable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F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pki008:FacilityType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0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parkovacího zařízení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2: valet parking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2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pki009:SupervisionType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3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dohledu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3: on site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5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pki010:SecurityType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zabezpečení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2: security staff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8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pki011:AssociatedService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přidružených služeb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1: fuel station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B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pki012:ParkingStatus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C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Výčet různých typů stavů parkoviště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Př.: 4: closed</w:t>
            </w:r>
          </w:p>
        </w:tc>
      </w:tr>
      <w:tr>
        <w:trPr>
          <w:trHeight w:val="200" w:hRule="atLeast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E">
            <w:pPr>
              <w:spacing w:after="0" w:lineRule="auto"/>
              <w:jc w:val="center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-- redakčně zkráceno o 10 položek --</w:t>
            </w:r>
          </w:p>
        </w:tc>
      </w:tr>
    </w:tbl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Následující tabulka obsahuje ukázku tabulky “PKI005:AvailableFeatures” z popisovaného dokumentu.</w:t>
      </w:r>
    </w:p>
    <w:tbl>
      <w:tblPr>
        <w:tblStyle w:val="Table5"/>
        <w:tblW w:w="9045.0" w:type="dxa"/>
        <w:jc w:val="left"/>
        <w:tblInd w:w="131.0" w:type="dxa"/>
        <w:tblLayout w:type="fixed"/>
        <w:tblLook w:val="0000"/>
      </w:tblPr>
      <w:tblGrid>
        <w:gridCol w:w="828"/>
        <w:gridCol w:w="2268"/>
        <w:gridCol w:w="5949"/>
        <w:tblGridChange w:id="0">
          <w:tblGrid>
            <w:gridCol w:w="828"/>
            <w:gridCol w:w="2268"/>
            <w:gridCol w:w="5949"/>
          </w:tblGrid>
        </w:tblGridChange>
      </w:tblGrid>
      <w:tr>
        <w:tc>
          <w:tcPr>
            <w:gridSpan w:val="3"/>
            <w:tcBorders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3">
            <w:pPr>
              <w:keepNext w:val="0"/>
              <w:keepLines w:val="1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4 – Části definice výčtového typu PKI005:AvailableFeatures (nečíslovaná část)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7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8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komentář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A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unknown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B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Service provider does not know at time of message generation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C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D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none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E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F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0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wheelchair accessible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1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2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3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internet hotspots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4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5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6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electricity available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7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8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9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toilet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A">
            <w:pPr>
              <w:spacing w:after="0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B">
      <w:pPr>
        <w:pStyle w:val="Heading1"/>
        <w:rPr/>
      </w:pPr>
      <w:r w:rsidDel="00000000" w:rsidR="00000000" w:rsidRPr="00000000">
        <w:rPr>
          <w:rtl w:val="0"/>
        </w:rPr>
        <w:t xml:space="preserve">Příloha A (normativní) TPEG-bin reprezentace PKI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Tato příloha (rozsah 16 stran) stanovuje binární reprezentaci aplikace pro informace o parkování (PKI) TPEG pro použití v DAB. Pro popis binární reprezentace je použit pseudokód, kde pro každé klíčové slovo zapsané struktury je definován jeho binární tvar.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Příloha obsahuje samostatně uvedené binární reprezentace rámce TPEG, zprávy PKI a jejích součástí, prvků určených pro budoucí rozšíření a datových typů. Dále obsahuje identifikátory komponent zprávy a vysvětlení použití obecných atributů TPEG.</w:t>
      </w:r>
    </w:p>
    <w:p w:rsidR="00000000" w:rsidDel="00000000" w:rsidP="00000000" w:rsidRDefault="00000000" w:rsidRPr="00000000" w14:paraId="000000BE">
      <w:pPr>
        <w:rPr>
          <w:b w:val="1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5 - Výstřižek pseudokódu specifikace prvku ParkingMessage (nečíslovaná část)</w:t>
      </w:r>
    </w:p>
    <w:tbl>
      <w:tblPr>
        <w:tblStyle w:val="Table6"/>
        <w:tblW w:w="9195.0" w:type="dxa"/>
        <w:jc w:val="left"/>
        <w:tblInd w:w="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600"/>
        <w:gridCol w:w="5595"/>
        <w:tblGridChange w:id="0">
          <w:tblGrid>
            <w:gridCol w:w="3600"/>
            <w:gridCol w:w="5595"/>
          </w:tblGrid>
        </w:tblGridChange>
      </w:tblGrid>
      <w:tr>
        <w:tc>
          <w:tcPr/>
          <w:p w:rsidR="00000000" w:rsidDel="00000000" w:rsidP="00000000" w:rsidRDefault="00000000" w:rsidRPr="00000000" w14:paraId="000000C0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&lt;ParkingMessage(0)&gt;:=</w:t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C2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&lt;IntUnTi&gt;(0),</w:t>
            </w:r>
          </w:p>
        </w:tc>
        <w:tc>
          <w:tcPr/>
          <w:p w:rsidR="00000000" w:rsidDel="00000000" w:rsidP="00000000" w:rsidRDefault="00000000" w:rsidRPr="00000000" w14:paraId="000000C3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: id of this component</w:t>
            </w:r>
          </w:p>
        </w:tc>
      </w:tr>
      <w:tr>
        <w:tc>
          <w:tcPr/>
          <w:p w:rsidR="00000000" w:rsidDel="00000000" w:rsidP="00000000" w:rsidRDefault="00000000" w:rsidRPr="00000000" w14:paraId="000000C4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&lt;IntUnLoMB&gt;(lengthComp),</w:t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: number of bytes in component</w:t>
            </w:r>
          </w:p>
        </w:tc>
      </w:tr>
      <w:tr>
        <w:tc>
          <w:tcPr/>
          <w:p w:rsidR="00000000" w:rsidDel="00000000" w:rsidP="00000000" w:rsidRDefault="00000000" w:rsidRPr="00000000" w14:paraId="000000C6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&lt;IntUnLoMB&gt;(lengthAttr),</w:t>
            </w:r>
          </w:p>
        </w:tc>
        <w:tc>
          <w:tcPr/>
          <w:p w:rsidR="00000000" w:rsidDel="00000000" w:rsidP="00000000" w:rsidRDefault="00000000" w:rsidRPr="00000000" w14:paraId="000000C7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: number of bytes in attributes</w:t>
            </w:r>
          </w:p>
        </w:tc>
      </w:tr>
      <w:tr>
        <w:tc>
          <w:tcPr/>
          <w:p w:rsidR="00000000" w:rsidDel="00000000" w:rsidP="00000000" w:rsidRDefault="00000000" w:rsidRPr="00000000" w14:paraId="000000C8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ordered {</w:t>
            </w:r>
          </w:p>
        </w:tc>
        <w:tc>
          <w:tcPr/>
          <w:p w:rsidR="00000000" w:rsidDel="00000000" w:rsidP="00000000" w:rsidRDefault="00000000" w:rsidRPr="00000000" w14:paraId="000000C9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CA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  &lt;MMCSwitch&gt;(mmt),</w:t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: Includes one of the Message Management Container types.</w:t>
            </w:r>
          </w:p>
        </w:tc>
      </w:tr>
      <w:tr>
        <w:tc>
          <w:tcPr/>
          <w:p w:rsidR="00000000" w:rsidDel="00000000" w:rsidP="00000000" w:rsidRDefault="00000000" w:rsidRPr="00000000" w14:paraId="000000CC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}</w:t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CE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unordered {</w:t>
            </w:r>
          </w:p>
        </w:tc>
        <w:tc>
          <w:tcPr/>
          <w:p w:rsidR="00000000" w:rsidDel="00000000" w:rsidP="00000000" w:rsidRDefault="00000000" w:rsidRPr="00000000" w14:paraId="000000CF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D0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  n * &lt;ParkingLocation&gt; (parkingLocation)[0..1],</w:t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: As defined in external TPEG2-Location Referencing specification.</w:t>
            </w:r>
          </w:p>
        </w:tc>
      </w:tr>
      <w:tr>
        <w:tc>
          <w:tcPr/>
          <w:p w:rsidR="00000000" w:rsidDel="00000000" w:rsidP="00000000" w:rsidRDefault="00000000" w:rsidRPr="00000000" w14:paraId="000000D2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  n * &lt;ParkingSiteDescription&gt; (parkingSiteDescription)[0..1],</w:t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D4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  n * &lt;CurrentCapacity&gt; (currentCapacity)[0..1],</w:t>
            </w:r>
          </w:p>
        </w:tc>
        <w:tc>
          <w:tcPr/>
          <w:p w:rsidR="00000000" w:rsidDel="00000000" w:rsidP="00000000" w:rsidRDefault="00000000" w:rsidRPr="00000000" w14:paraId="000000D5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D6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  n * &lt;ExpectedCapacity&gt; (expectedCapacity),</w:t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D8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  n * &lt;Advice&gt;(advice)</w:t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DA">
            <w:pPr>
              <w:spacing w:after="0" w:lineRule="auto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};</w:t>
            </w:r>
          </w:p>
        </w:tc>
        <w:tc>
          <w:tcPr/>
          <w:p w:rsidR="00000000" w:rsidDel="00000000" w:rsidP="00000000" w:rsidRDefault="00000000" w:rsidRPr="00000000" w14:paraId="000000DB">
            <w:pPr>
              <w:keepNext w:val="1"/>
              <w:spacing w:after="0" w:lineRule="auto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pStyle w:val="Heading1"/>
        <w:rPr/>
      </w:pPr>
      <w:r w:rsidDel="00000000" w:rsidR="00000000" w:rsidRPr="00000000">
        <w:rPr>
          <w:rtl w:val="0"/>
        </w:rPr>
        <w:t xml:space="preserve">Příloha B (normativní) TPEG-ML reprezentace PKI</w:t>
      </w:r>
    </w:p>
    <w:p w:rsidR="00000000" w:rsidDel="00000000" w:rsidP="00000000" w:rsidRDefault="00000000" w:rsidRPr="00000000" w14:paraId="000000DD">
      <w:pPr>
        <w:rPr>
          <w:color w:val="0000ff"/>
          <w:sz w:val="18"/>
          <w:szCs w:val="18"/>
        </w:rPr>
      </w:pPr>
      <w:r w:rsidDel="00000000" w:rsidR="00000000" w:rsidRPr="00000000">
        <w:rPr>
          <w:rtl w:val="0"/>
        </w:rPr>
        <w:t xml:space="preserve">Tato příloha (rozsah 25 stran) obsahuje nejprve </w:t>
      </w:r>
      <w:r w:rsidDel="00000000" w:rsidR="00000000" w:rsidRPr="00000000">
        <w:rPr>
          <w:u w:val="single"/>
          <w:rtl w:val="0"/>
        </w:rPr>
        <w:t xml:space="preserve">samostatně uvedené</w:t>
      </w:r>
      <w:r w:rsidDel="00000000" w:rsidR="00000000" w:rsidRPr="00000000">
        <w:rPr>
          <w:rtl w:val="0"/>
        </w:rPr>
        <w:t xml:space="preserve"> XML schéma rámce TPEG, dále zprávy PKI a jejích součástí, prvků určených pro budoucí rozšíření, datových typů a tabulek PKI (definovaných jako xs:complexType). Následně uvádí vše výše zmíněné v jednom funkčním XML schématu.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&lt;xs:complexType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"ParkingSiteDescription"</w:t>
      </w:r>
      <w:r w:rsidDel="00000000" w:rsidR="00000000" w:rsidRPr="00000000">
        <w:rPr>
          <w:sz w:val="18"/>
          <w:szCs w:val="18"/>
          <w:rtl w:val="0"/>
        </w:rPr>
        <w:t xml:space="preserve">&gt; </w:t>
      </w:r>
    </w:p>
    <w:p w:rsidR="00000000" w:rsidDel="00000000" w:rsidP="00000000" w:rsidRDefault="00000000" w:rsidRPr="00000000" w14:paraId="000000D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&lt;xs:sequence&gt; </w:t>
      </w:r>
    </w:p>
    <w:p w:rsidR="00000000" w:rsidDel="00000000" w:rsidP="00000000" w:rsidRDefault="00000000" w:rsidRPr="00000000" w14:paraId="000000E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&lt;xs:choice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maxOccurs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"unbounded"</w:t>
      </w:r>
      <w:r w:rsidDel="00000000" w:rsidR="00000000" w:rsidRPr="00000000">
        <w:rPr>
          <w:sz w:val="18"/>
          <w:szCs w:val="18"/>
          <w:rtl w:val="0"/>
        </w:rPr>
        <w:t xml:space="preserve">&gt; </w:t>
      </w:r>
    </w:p>
    <w:p w:rsidR="00000000" w:rsidDel="00000000" w:rsidP="00000000" w:rsidRDefault="00000000" w:rsidRPr="00000000" w14:paraId="000000E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&lt;xs:element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"parkingInfo"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type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"ParkingInfo"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minOccurs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"0"</w:t>
      </w:r>
      <w:r w:rsidDel="00000000" w:rsidR="00000000" w:rsidRPr="00000000">
        <w:rPr>
          <w:sz w:val="18"/>
          <w:szCs w:val="18"/>
          <w:rtl w:val="0"/>
        </w:rPr>
        <w:t xml:space="preserve">/&gt; </w:t>
      </w:r>
    </w:p>
    <w:p w:rsidR="00000000" w:rsidDel="00000000" w:rsidP="00000000" w:rsidRDefault="00000000" w:rsidRPr="00000000" w14:paraId="000000E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&lt;xs:element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"parkingSpecification"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type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"ParkingSpecification"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minOccurs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"0"</w:t>
      </w:r>
      <w:r w:rsidDel="00000000" w:rsidR="00000000" w:rsidRPr="00000000">
        <w:rPr>
          <w:sz w:val="18"/>
          <w:szCs w:val="18"/>
          <w:rtl w:val="0"/>
        </w:rPr>
        <w:t xml:space="preserve">/&gt; </w:t>
      </w:r>
    </w:p>
    <w:p w:rsidR="00000000" w:rsidDel="00000000" w:rsidP="00000000" w:rsidRDefault="00000000" w:rsidRPr="00000000" w14:paraId="000000E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&lt;xs:element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"parkingForEvent"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type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"ParkingForEvent"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minOccurs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"0"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maxOccurs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"unbounded"</w:t>
      </w:r>
      <w:r w:rsidDel="00000000" w:rsidR="00000000" w:rsidRPr="00000000">
        <w:rPr>
          <w:sz w:val="18"/>
          <w:szCs w:val="18"/>
          <w:rtl w:val="0"/>
        </w:rPr>
        <w:t xml:space="preserve">/&gt; </w:t>
      </w:r>
    </w:p>
    <w:p w:rsidR="00000000" w:rsidDel="00000000" w:rsidP="00000000" w:rsidRDefault="00000000" w:rsidRPr="00000000" w14:paraId="000000E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&lt;xs:element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"openingHours"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type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"OpeningHours"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minOccurs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"0"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maxOccurs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"unbounded"</w:t>
      </w:r>
      <w:r w:rsidDel="00000000" w:rsidR="00000000" w:rsidRPr="00000000">
        <w:rPr>
          <w:sz w:val="18"/>
          <w:szCs w:val="18"/>
          <w:rtl w:val="0"/>
        </w:rPr>
        <w:t xml:space="preserve">/&gt; </w:t>
      </w:r>
    </w:p>
    <w:p w:rsidR="00000000" w:rsidDel="00000000" w:rsidP="00000000" w:rsidRDefault="00000000" w:rsidRPr="00000000" w14:paraId="000000E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&lt;xs:element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"pricingPayment"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type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"PricingPayment"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minOccurs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"0"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maxOccurs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"unbounded"</w:t>
      </w:r>
      <w:r w:rsidDel="00000000" w:rsidR="00000000" w:rsidRPr="00000000">
        <w:rPr>
          <w:sz w:val="18"/>
          <w:szCs w:val="18"/>
          <w:rtl w:val="0"/>
        </w:rPr>
        <w:t xml:space="preserve">/&gt; </w:t>
      </w:r>
    </w:p>
    <w:p w:rsidR="00000000" w:rsidDel="00000000" w:rsidP="00000000" w:rsidRDefault="00000000" w:rsidRPr="00000000" w14:paraId="000000E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&lt;xs:element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"facilities"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type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"Facilities"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minOccurs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"0"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maxOccurs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"unbounded"</w:t>
      </w:r>
      <w:r w:rsidDel="00000000" w:rsidR="00000000" w:rsidRPr="00000000">
        <w:rPr>
          <w:sz w:val="18"/>
          <w:szCs w:val="18"/>
          <w:rtl w:val="0"/>
        </w:rPr>
        <w:t xml:space="preserve">/&gt; </w:t>
      </w:r>
    </w:p>
    <w:p w:rsidR="00000000" w:rsidDel="00000000" w:rsidP="00000000" w:rsidRDefault="00000000" w:rsidRPr="00000000" w14:paraId="000000E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&lt;xs:element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name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"associatedService"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type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"AssociatedService"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minOccurs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"0"</w:t>
      </w:r>
      <w:r w:rsidDel="00000000" w:rsidR="00000000" w:rsidRPr="00000000">
        <w:rPr>
          <w:sz w:val="18"/>
          <w:szCs w:val="18"/>
          <w:rtl w:val="0"/>
        </w:rPr>
        <w:t xml:space="preserve"> </w:t>
      </w:r>
      <w:r w:rsidDel="00000000" w:rsidR="00000000" w:rsidRPr="00000000">
        <w:rPr>
          <w:color w:val="ff0000"/>
          <w:sz w:val="18"/>
          <w:szCs w:val="18"/>
          <w:rtl w:val="0"/>
        </w:rPr>
        <w:t xml:space="preserve">maxOccurs</w:t>
      </w:r>
      <w:r w:rsidDel="00000000" w:rsidR="00000000" w:rsidRPr="00000000">
        <w:rPr>
          <w:sz w:val="18"/>
          <w:szCs w:val="18"/>
          <w:rtl w:val="0"/>
        </w:rPr>
        <w:t xml:space="preserve">=</w:t>
      </w:r>
      <w:r w:rsidDel="00000000" w:rsidR="00000000" w:rsidRPr="00000000">
        <w:rPr>
          <w:color w:val="0000ff"/>
          <w:sz w:val="18"/>
          <w:szCs w:val="18"/>
          <w:rtl w:val="0"/>
        </w:rPr>
        <w:t xml:space="preserve">"unbounded"</w:t>
      </w:r>
      <w:r w:rsidDel="00000000" w:rsidR="00000000" w:rsidRPr="00000000">
        <w:rPr>
          <w:sz w:val="18"/>
          <w:szCs w:val="18"/>
          <w:rtl w:val="0"/>
        </w:rPr>
        <w:t xml:space="preserve">/&gt; </w:t>
      </w:r>
    </w:p>
    <w:p w:rsidR="00000000" w:rsidDel="00000000" w:rsidP="00000000" w:rsidRDefault="00000000" w:rsidRPr="00000000" w14:paraId="000000E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&lt;/xs:choice&gt; </w:t>
      </w:r>
    </w:p>
    <w:p w:rsidR="00000000" w:rsidDel="00000000" w:rsidP="00000000" w:rsidRDefault="00000000" w:rsidRPr="00000000" w14:paraId="000000E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0" w:lineRule="auto"/>
        <w:rPr>
          <w:sz w:val="18"/>
          <w:szCs w:val="18"/>
        </w:rPr>
      </w:pPr>
      <w:r w:rsidDel="00000000" w:rsidR="00000000" w:rsidRPr="00000000">
        <w:rPr>
          <w:color w:val="0000ff"/>
          <w:sz w:val="18"/>
          <w:szCs w:val="18"/>
          <w:rtl w:val="0"/>
        </w:rPr>
        <w:t xml:space="preserve"> </w:t>
      </w:r>
      <w:r w:rsidDel="00000000" w:rsidR="00000000" w:rsidRPr="00000000">
        <w:rPr>
          <w:sz w:val="18"/>
          <w:szCs w:val="18"/>
          <w:rtl w:val="0"/>
        </w:rPr>
        <w:t xml:space="preserve">&lt;/xs:sequence&gt; </w:t>
      </w:r>
    </w:p>
    <w:p w:rsidR="00000000" w:rsidDel="00000000" w:rsidP="00000000" w:rsidRDefault="00000000" w:rsidRPr="00000000" w14:paraId="000000E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tabs>
          <w:tab w:val="left" w:pos="1360"/>
        </w:tabs>
        <w:spacing w:after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&lt;/xs:complexType&gt; </w:t>
      </w:r>
    </w:p>
    <w:p w:rsidR="00000000" w:rsidDel="00000000" w:rsidP="00000000" w:rsidRDefault="00000000" w:rsidRPr="00000000" w14:paraId="000000EB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Obrázek  2 – Výstřižek schématu XSD stanovujícího strukturu </w:t>
        <w:br w:type="textWrapping"/>
        <w:t xml:space="preserve">prvku ParkingSiteDescription (nečíslovaná část)</w:t>
      </w:r>
    </w:p>
    <w:p w:rsidR="00000000" w:rsidDel="00000000" w:rsidP="00000000" w:rsidRDefault="00000000" w:rsidRPr="00000000" w14:paraId="000000EC">
      <w:pPr>
        <w:pStyle w:val="Heading1"/>
        <w:rPr/>
      </w:pPr>
      <w:r w:rsidDel="00000000" w:rsidR="00000000" w:rsidRPr="00000000">
        <w:rPr>
          <w:rtl w:val="0"/>
        </w:rPr>
        <w:t xml:space="preserve">Literatura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Tato kapitola uvádí dva odkazy na normy použité v textu, a to na definici XML schématu a na TPEG1-PKI (CEN ISO/TS 18234-7:2013), tedy parkovací normu první generace TPEG.</w:t>
      </w:r>
    </w:p>
    <w:sectPr>
      <w:footerReference r:id="rId9" w:type="default"/>
      <w:pgSz w:h="16838" w:w="11906" w:orient="portrait"/>
      <w:pgMar w:bottom="1497" w:top="1417" w:left="1417" w:right="1417" w:header="720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EE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both"/>
    </w:pPr>
    <w:rPr>
      <w:rFonts w:ascii="Arial" w:cs="Arial" w:eastAsia="Arial" w:hAnsi="Arial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both"/>
    </w:pPr>
    <w:rPr>
      <w:rFonts w:ascii="Arial" w:cs="Arial" w:eastAsia="Arial" w:hAnsi="Arial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76" w:lineRule="auto"/>
      <w:ind w:left="0" w:right="0" w:firstLine="0"/>
      <w:jc w:val="both"/>
    </w:pPr>
    <w:rPr>
      <w:rFonts w:ascii="Arial" w:cs="Arial" w:eastAsia="Arial" w:hAnsi="Arial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76" w:lineRule="auto"/>
      <w:ind w:left="0" w:right="0" w:firstLine="0"/>
      <w:jc w:val="both"/>
    </w:pPr>
    <w:rPr>
      <w:rFonts w:ascii="Arial" w:cs="Arial" w:eastAsia="Arial" w:hAnsi="Arial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76" w:lineRule="auto"/>
      <w:ind w:left="0" w:right="0" w:firstLine="0"/>
      <w:jc w:val="both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left" w:pos="7080"/>
        <w:tab w:val="right" w:pos="9923"/>
      </w:tabs>
      <w:spacing w:after="60" w:before="0" w:line="276" w:lineRule="auto"/>
      <w:ind w:left="0" w:right="0" w:firstLine="0"/>
      <w:jc w:val="center"/>
    </w:pPr>
    <w:rPr>
      <w:rFonts w:ascii="Arial" w:cs="Arial" w:eastAsia="Arial" w:hAnsi="Arial"/>
      <w:b w:val="1"/>
      <w:i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Normln" w:default="1">
    <w:name w:val="Normal"/>
    <w:qFormat w:val="1"/>
    <w:rsid w:val="004B0175"/>
    <w:pPr>
      <w:suppressAutoHyphens w:val="1"/>
    </w:pPr>
    <w:rPr>
      <w:color w:val="000000"/>
      <w:lang w:bidi="hi-IN" w:eastAsia="hi-IN"/>
    </w:rPr>
  </w:style>
  <w:style w:type="paragraph" w:styleId="Nadpis1">
    <w:name w:val="heading 1"/>
    <w:basedOn w:val="Normal1"/>
    <w:next w:val="Zkladntext"/>
    <w:link w:val="Nadpis1Char"/>
    <w:uiPriority w:val="99"/>
    <w:qFormat w:val="1"/>
    <w:rsid w:val="00872E68"/>
    <w:pPr>
      <w:keepNext w:val="1"/>
      <w:keepLines w:val="1"/>
      <w:spacing w:after="60" w:before="240" w:line="240" w:lineRule="auto"/>
      <w:jc w:val="left"/>
      <w:outlineLvl w:val="0"/>
    </w:pPr>
    <w:rPr>
      <w:rFonts w:cs="Times New Roman" w:eastAsia="Times New Roman"/>
      <w:b w:val="1"/>
      <w:sz w:val="22"/>
      <w:lang w:bidi="ar-SA" w:eastAsia="cs-CZ"/>
    </w:rPr>
  </w:style>
  <w:style w:type="paragraph" w:styleId="Nadpis2">
    <w:name w:val="heading 2"/>
    <w:basedOn w:val="Normal1"/>
    <w:next w:val="Zkladntext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al1"/>
    <w:next w:val="Zkladntext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al1"/>
    <w:next w:val="Zkladntext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al1"/>
    <w:next w:val="Zkladntext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al1"/>
    <w:next w:val="Zkladntext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al1"/>
    <w:next w:val="Podtitul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character" w:styleId="ListLabel1" w:customStyle="1">
    <w:name w:val="ListLabel 1"/>
    <w:rPr>
      <w:u w:val="none"/>
    </w:rPr>
  </w:style>
  <w:style w:type="character" w:styleId="Odrky" w:customStyle="1">
    <w:name w:val="Odrážky"/>
    <w:rPr>
      <w:rFonts w:ascii="OpenSymbol" w:cs="OpenSymbol" w:eastAsia="OpenSymbol" w:hAnsi="OpenSymbol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sz w:val="28"/>
      <w:szCs w:val="28"/>
    </w:rPr>
  </w:style>
  <w:style w:type="paragraph" w:styleId="Zkladntext">
    <w:name w:val="Body Text"/>
    <w:basedOn w:val="Normln"/>
    <w:link w:val="ZkladntextChar"/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</w:rPr>
  </w:style>
  <w:style w:type="paragraph" w:styleId="Normal1" w:customStyle="1">
    <w:name w:val="Normal1"/>
    <w:pPr>
      <w:suppressAutoHyphens w:val="1"/>
    </w:pPr>
    <w:rPr>
      <w:lang w:bidi="hi-IN" w:eastAsia="hi-IN"/>
    </w:rPr>
  </w:style>
  <w:style w:type="paragraph" w:styleId="Podtitul">
    <w:name w:val="Subtitle"/>
    <w:basedOn w:val="Normln"/>
    <w:next w:val="Normln"/>
    <w:link w:val="PodtitulChar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80"/>
      <w:jc w:val="left"/>
    </w:pPr>
    <w:rPr>
      <w:b w:val="1"/>
      <w:i w:val="1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</w:style>
  <w:style w:type="paragraph" w:styleId="Odstavecseseznamem">
    <w:name w:val="List Paragraph"/>
    <w:basedOn w:val="Normln"/>
    <w:qFormat w:val="1"/>
    <w:pPr>
      <w:ind w:left="720"/>
    </w:pPr>
  </w:style>
  <w:style w:type="paragraph" w:styleId="Caption1" w:customStyle="1">
    <w:name w:val="Caption1"/>
    <w:basedOn w:val="Normln"/>
    <w:next w:val="Normln"/>
    <w:pPr>
      <w:spacing w:after="200" w:line="100" w:lineRule="atLeast"/>
      <w:jc w:val="center"/>
    </w:pPr>
    <w:rPr>
      <w:bCs w:val="1"/>
      <w:color w:val="auto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</w:style>
  <w:style w:type="table" w:styleId="Mkatabulky">
    <w:name w:val="Table Grid"/>
    <w:basedOn w:val="Normlntabulka"/>
    <w:uiPriority w:val="39"/>
    <w:rsid w:val="00877D3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xample" w:customStyle="1">
    <w:name w:val="Example"/>
    <w:basedOn w:val="Normln"/>
    <w:next w:val="Normln"/>
    <w:rsid w:val="00877D3F"/>
    <w:pPr>
      <w:tabs>
        <w:tab w:val="left" w:pos="1360"/>
      </w:tabs>
      <w:suppressAutoHyphens w:val="0"/>
      <w:spacing w:after="240" w:line="210" w:lineRule="atLeast"/>
    </w:pPr>
    <w:rPr>
      <w:rFonts w:cs="Times New Roman" w:eastAsia="MS Mincho"/>
      <w:color w:val="auto"/>
      <w:sz w:val="18"/>
      <w:lang w:bidi="ar-SA" w:eastAsia="ja-JP" w:val="en-GB"/>
    </w:rPr>
  </w:style>
  <w:style w:type="paragraph" w:styleId="Titulek">
    <w:name w:val="caption"/>
    <w:basedOn w:val="Normln"/>
    <w:next w:val="Normln"/>
    <w:uiPriority w:val="35"/>
    <w:unhideWhenUsed w:val="1"/>
    <w:qFormat w:val="1"/>
    <w:rsid w:val="00834044"/>
    <w:rPr>
      <w:rFonts w:cs="Mangal"/>
      <w:b w:val="1"/>
      <w:bCs w:val="1"/>
      <w:szCs w:val="18"/>
    </w:rPr>
  </w:style>
  <w:style w:type="paragraph" w:styleId="TAL" w:customStyle="1">
    <w:name w:val="TAL"/>
    <w:basedOn w:val="Normln"/>
    <w:rsid w:val="001546E6"/>
    <w:pPr>
      <w:keepNext w:val="1"/>
      <w:keepLines w:val="1"/>
      <w:suppressAutoHyphens w:val="0"/>
      <w:spacing w:after="0" w:line="240" w:lineRule="auto"/>
      <w:jc w:val="left"/>
    </w:pPr>
    <w:rPr>
      <w:rFonts w:cs="Times New Roman" w:eastAsia="MS Mincho"/>
      <w:color w:val="auto"/>
      <w:sz w:val="18"/>
      <w:lang w:bidi="ar-SA" w:eastAsia="en-US" w:val="en-GB"/>
    </w:rPr>
  </w:style>
  <w:style w:type="paragraph" w:styleId="Tabletitle" w:customStyle="1">
    <w:name w:val="Table title"/>
    <w:basedOn w:val="Normln"/>
    <w:next w:val="Normln"/>
    <w:uiPriority w:val="99"/>
    <w:rsid w:val="006E0149"/>
    <w:pPr>
      <w:keepNext w:val="1"/>
      <w:spacing w:before="120" w:line="230" w:lineRule="exact"/>
      <w:jc w:val="center"/>
    </w:pPr>
    <w:rPr>
      <w:rFonts w:cs="Times New Roman" w:eastAsia="MS Mincho"/>
      <w:b w:val="1"/>
      <w:color w:val="auto"/>
      <w:lang w:bidi="ar-SA" w:eastAsia="ja-JP" w:val="en-GB"/>
    </w:rPr>
  </w:style>
  <w:style w:type="paragraph" w:styleId="Textpoznpodarou">
    <w:name w:val="footnote text"/>
    <w:basedOn w:val="Normln"/>
    <w:link w:val="TextpoznpodarouChar"/>
    <w:uiPriority w:val="99"/>
    <w:semiHidden w:val="1"/>
    <w:unhideWhenUsed w:val="1"/>
    <w:rsid w:val="001E3E18"/>
    <w:rPr>
      <w:rFonts w:cs="Mangal"/>
      <w:szCs w:val="18"/>
    </w:rPr>
  </w:style>
  <w:style w:type="character" w:styleId="TextpoznpodarouChar" w:customStyle="1">
    <w:name w:val="Text pozn. pod čarou Char"/>
    <w:link w:val="Textpoznpodarou"/>
    <w:uiPriority w:val="99"/>
    <w:semiHidden w:val="1"/>
    <w:rsid w:val="001E3E18"/>
    <w:rPr>
      <w:rFonts w:ascii="Arial" w:cs="Mangal" w:eastAsia="Arial" w:hAnsi="Arial"/>
      <w:color w:val="000000"/>
      <w:szCs w:val="18"/>
      <w:lang w:bidi="hi-IN" w:eastAsia="hi-IN" w:val="cs-CZ"/>
    </w:rPr>
  </w:style>
  <w:style w:type="character" w:styleId="Znakapoznpodarou">
    <w:name w:val="footnote reference"/>
    <w:uiPriority w:val="99"/>
    <w:semiHidden w:val="1"/>
    <w:unhideWhenUsed w:val="1"/>
    <w:rsid w:val="001E3E18"/>
    <w:rPr>
      <w:vertAlign w:val="superscript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sid w:val="00F94FE6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rsid w:val="00F94FE6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sid w:val="00F94FE6"/>
    <w:rPr>
      <w:rFonts w:ascii="Arial" w:cs="Mangal" w:eastAsia="Arial" w:hAnsi="Arial"/>
      <w:color w:val="000000"/>
      <w:szCs w:val="18"/>
      <w:lang w:bidi="hi-IN" w:eastAsia="hi-IN" w:val="cs-CZ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 w:val="1"/>
    <w:unhideWhenUsed w:val="1"/>
    <w:rsid w:val="00F94FE6"/>
    <w:rPr>
      <w:b w:val="1"/>
      <w:bCs w:val="1"/>
    </w:rPr>
  </w:style>
  <w:style w:type="character" w:styleId="PedmtkomenteChar" w:customStyle="1">
    <w:name w:val="Předmět komentáře Char"/>
    <w:basedOn w:val="TextkomenteChar"/>
    <w:link w:val="Pedmtkomente"/>
    <w:uiPriority w:val="99"/>
    <w:semiHidden w:val="1"/>
    <w:rsid w:val="00F94FE6"/>
    <w:rPr>
      <w:rFonts w:ascii="Arial" w:cs="Mangal" w:eastAsia="Arial" w:hAnsi="Arial"/>
      <w:b w:val="1"/>
      <w:bCs w:val="1"/>
      <w:color w:val="000000"/>
      <w:szCs w:val="18"/>
      <w:lang w:bidi="hi-IN" w:eastAsia="hi-IN" w:val="cs-CZ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F94FE6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F94FE6"/>
    <w:rPr>
      <w:rFonts w:ascii="Tahoma" w:cs="Mangal" w:eastAsia="Arial" w:hAnsi="Tahoma"/>
      <w:color w:val="000000"/>
      <w:sz w:val="16"/>
      <w:szCs w:val="14"/>
      <w:lang w:bidi="hi-IN" w:eastAsia="hi-IN" w:val="cs-CZ"/>
    </w:rPr>
  </w:style>
  <w:style w:type="character" w:styleId="ZkladntextChar" w:customStyle="1">
    <w:name w:val="Základní text Char"/>
    <w:basedOn w:val="Standardnpsmoodstavce"/>
    <w:link w:val="Zkladntext"/>
    <w:rsid w:val="00044537"/>
    <w:rPr>
      <w:rFonts w:ascii="Arial" w:cs="Arial" w:eastAsia="Arial" w:hAnsi="Arial"/>
      <w:color w:val="000000"/>
      <w:lang w:bidi="hi-IN" w:eastAsia="hi-IN" w:val="cs-CZ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character" w:styleId="PodtitulChar" w:customStyle="1">
    <w:name w:val="Podtitul Char"/>
    <w:basedOn w:val="Standardnpsmoodstavce"/>
    <w:link w:val="Podtitul"/>
    <w:uiPriority w:val="11"/>
    <w:rsid w:val="00872E68"/>
    <w:rPr>
      <w:b w:val="1"/>
      <w:i w:val="1"/>
      <w:color w:val="000000"/>
      <w:sz w:val="32"/>
      <w:szCs w:val="32"/>
      <w:lang w:bidi="hi-IN" w:eastAsia="hi-IN"/>
    </w:rPr>
  </w:style>
  <w:style w:type="character" w:styleId="Nadpis1Char" w:customStyle="1">
    <w:name w:val="Nadpis 1 Char"/>
    <w:basedOn w:val="Standardnpsmoodstavce"/>
    <w:link w:val="Nadpis1"/>
    <w:uiPriority w:val="99"/>
    <w:rsid w:val="00872E68"/>
    <w:rPr>
      <w:rFonts w:cs="Times New Roman" w:eastAsia="Times New Roman"/>
      <w:b w:val="1"/>
      <w:sz w:val="22"/>
      <w:lang w:eastAsia="cs-CZ"/>
    </w:rPr>
  </w:style>
  <w:style w:type="paragraph" w:styleId="1StrNN-4-3" w:customStyle="1">
    <w:name w:val="1StrNN-4-3"/>
    <w:basedOn w:val="Normln"/>
    <w:rsid w:val="00872E68"/>
    <w:pPr>
      <w:widowControl w:val="0"/>
      <w:spacing w:after="0" w:before="160" w:line="340" w:lineRule="exact"/>
      <w:ind w:right="567"/>
      <w:jc w:val="left"/>
    </w:pPr>
    <w:rPr>
      <w:rFonts w:cs="Times New Roman" w:eastAsia="Times New Roman"/>
      <w:b w:val="1"/>
      <w:color w:val="auto"/>
      <w:sz w:val="28"/>
      <w:lang w:bidi="ar-SA" w:eastAsia="cs-CZ"/>
    </w:rPr>
  </w:style>
  <w:style w:type="paragraph" w:styleId="1StrCN" w:customStyle="1">
    <w:name w:val="1StrCN"/>
    <w:basedOn w:val="Normln"/>
    <w:next w:val="Normln"/>
    <w:rsid w:val="00872E68"/>
    <w:pPr>
      <w:suppressAutoHyphens w:val="0"/>
      <w:spacing w:after="0" w:before="180" w:line="340" w:lineRule="exact"/>
      <w:jc w:val="left"/>
    </w:pPr>
    <w:rPr>
      <w:rFonts w:cs="Times New Roman" w:eastAsia="Times New Roman"/>
      <w:b w:val="1"/>
      <w:noProof w:val="1"/>
      <w:color w:val="auto"/>
      <w:sz w:val="32"/>
      <w:lang w:bidi="ar-SA" w:eastAsia="cs-CZ"/>
    </w:rPr>
  </w:style>
  <w:style w:type="paragraph" w:styleId="Shodnost" w:customStyle="1">
    <w:name w:val="Shodnost"/>
    <w:basedOn w:val="Normln"/>
    <w:next w:val="Normln"/>
    <w:rsid w:val="00872E68"/>
    <w:pPr>
      <w:keepNext w:val="1"/>
      <w:keepLines w:val="1"/>
      <w:tabs>
        <w:tab w:val="right" w:pos="9923"/>
      </w:tabs>
      <w:suppressAutoHyphens w:val="0"/>
      <w:spacing w:after="360" w:before="240" w:line="240" w:lineRule="auto"/>
      <w:jc w:val="left"/>
    </w:pPr>
    <w:rPr>
      <w:rFonts w:cs="Times New Roman" w:eastAsia="Times New Roman"/>
      <w:color w:val="auto"/>
      <w:sz w:val="28"/>
      <w:lang w:bidi="ar-SA" w:eastAsia="cs-CZ"/>
    </w:rPr>
  </w:style>
  <w:style w:type="paragraph" w:styleId="Textnormy" w:customStyle="1">
    <w:name w:val="Text normy"/>
    <w:link w:val="TextnormyChar1"/>
    <w:uiPriority w:val="99"/>
    <w:rsid w:val="00872E68"/>
    <w:pPr>
      <w:spacing w:line="240" w:lineRule="auto"/>
    </w:pPr>
    <w:rPr>
      <w:rFonts w:cs="Times New Roman" w:eastAsia="Times New Roman"/>
      <w:lang w:eastAsia="cs-CZ"/>
    </w:rPr>
  </w:style>
  <w:style w:type="character" w:styleId="TextnormyChar1" w:customStyle="1">
    <w:name w:val="Text normy Char1"/>
    <w:link w:val="Textnormy"/>
    <w:uiPriority w:val="99"/>
    <w:rsid w:val="00872E68"/>
    <w:rPr>
      <w:rFonts w:cs="Times New Roman" w:eastAsia="Times New Roman"/>
      <w:lang w:eastAsia="cs-CZ"/>
    </w:rPr>
  </w:style>
  <w:style w:type="paragraph" w:styleId="Poznmka" w:customStyle="1">
    <w:name w:val="Poznámka"/>
    <w:basedOn w:val="Textnormy"/>
    <w:next w:val="Textnormy"/>
    <w:link w:val="PoznmkaChar"/>
    <w:rsid w:val="004B0175"/>
    <w:pPr>
      <w:spacing w:after="200" w:before="80"/>
    </w:pPr>
    <w:rPr>
      <w:sz w:val="18"/>
    </w:rPr>
  </w:style>
  <w:style w:type="character" w:styleId="PoznmkaChar" w:customStyle="1">
    <w:name w:val="Poznámka Char"/>
    <w:link w:val="Poznmka"/>
    <w:locked w:val="1"/>
    <w:rsid w:val="004B0175"/>
    <w:rPr>
      <w:rFonts w:cs="Times New Roman" w:eastAsia="Times New Roman"/>
      <w:sz w:val="18"/>
      <w:lang w:eastAsia="cs-CZ"/>
    </w:rPr>
  </w:style>
  <w:style w:type="paragraph" w:styleId="NadpisTabObr" w:customStyle="1">
    <w:name w:val="NadpisTabObr"/>
    <w:basedOn w:val="Normln"/>
    <w:next w:val="Textnormy"/>
    <w:rsid w:val="004B0175"/>
    <w:pPr>
      <w:keepLines w:val="1"/>
      <w:spacing w:before="120" w:line="240" w:lineRule="auto"/>
      <w:jc w:val="center"/>
    </w:pPr>
    <w:rPr>
      <w:rFonts w:cs="Times New Roman" w:eastAsia="Times New Roman"/>
      <w:b w:val="1"/>
      <w:color w:val="auto"/>
      <w:lang w:bidi="ar-SA" w:eastAsia="cs-CZ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80" w:lineRule="auto"/>
      <w:jc w:val="left"/>
    </w:pPr>
    <w:rPr>
      <w:b w:val="1"/>
      <w:i w:val="1"/>
      <w:sz w:val="32"/>
      <w:szCs w:val="3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jp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UxaOdxtAZGWQ42iXanREzhN3HEw==">AMUW2mWoZJwdLnVR6O4qXFqslnz7PhIV91KIG38/QzEuCK9YZiPRpieeRFdBSBsDsEs6OyMITIS3j1Gd7U6y+djznK2dhao3sFBDPosLxW15F8Dfge4Gfmoaq9mIg2SHxsScVaa7/uixlEOYJL15h/gNEROxbxLr1L6JQZQiiILUOWjMG2lzjnLBMWHne+7fhVjfi4e0BPNB/6X4cCmVE24P6V4kc11Rb7Kf3V+RJGwP+209/aRtt7E=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2020-05-13T09:19:00Z</dcterms:created>
  <dc:creator>Petr Bureš</dc:creator>
</cp:coreProperties>
</file>