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 mezinárodní normy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17: Aplikace pro informace o rychlostních omezeních (TPEG2</w:t>
            </w:r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-SPI)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 21219-17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2023, 35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17 normy TPEG „Aplikace pro informace o rychlostních omezeních (TPEG2-SPI)”, která specifikuje strukturu pro popis rychlostních limitů daných dopravními značkami a legislativními limity.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Je nezbytný pro analytiky poskytovatele služby informací o rychlostních limitech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rychlostních omezeních“</w:t>
      </w:r>
      <w:r w:rsidDel="00000000" w:rsidR="00000000" w:rsidRPr="00000000">
        <w:rPr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a interpretaci </w:t>
      </w:r>
      <w:r w:rsidDel="00000000" w:rsidR="00000000" w:rsidRPr="00000000">
        <w:rPr>
          <w:rtl w:val="0"/>
        </w:rPr>
        <w:t xml:space="preserve">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Informace o omezení rychlosti jsou navrženy s maximální efektivitou využití přenosového pásma. Používá se vždy (delší) liniová lokace (způsob odkázání se na polohu se neřeší) a na ní jsou definovány úseky s platností omezení rychlosti dle jízdního pruhu, typu vozidla či časové platnosti. Jedná se například o popis dočasného omezení rychlosti dané nehodou v pravém jízdním pruhu.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5 normativních odkazů na normu TPEG2 ISO 21219 části 1 (INV), 3, 4, 5 (SFW) a 9 (SNI). Jedná se o obecné normy definující základní strukturu zprávy, číslování a sestavení XML a binární serializace. 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1 termín.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Omezení rychlosti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(speed limit) </w:t>
      </w:r>
      <w:r w:rsidDel="00000000" w:rsidR="00000000" w:rsidRPr="00000000">
        <w:rPr>
          <w:rtl w:val="0"/>
        </w:rPr>
        <w:t xml:space="preserve">maximální (či v některých případech minimální) rychlost jízdy vozidel na dané části pozemní komunikace.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8">
      <w:pPr>
        <w:pStyle w:val="Heading1"/>
        <w:ind w:left="0" w:hanging="2"/>
        <w:rPr/>
      </w:pPr>
      <w:bookmarkStart w:colFirst="0" w:colLast="0" w:name="_heading=h.k2373fclpmbw" w:id="14"/>
      <w:bookmarkEnd w:id="14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19 zkratek, důležité z pohledu tohoto extraktu jsou: 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C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D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1F">
      <w:pPr>
        <w:pStyle w:val="Heading1"/>
        <w:ind w:left="0" w:hanging="2"/>
        <w:rPr/>
      </w:pPr>
      <w:bookmarkStart w:colFirst="0" w:colLast="0" w:name="_heading=h.qfqfpgofc94p" w:id="15"/>
      <w:bookmarkEnd w:id="15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6"/>
      <w:bookmarkEnd w:id="16"/>
      <w:r w:rsidDel="00000000" w:rsidR="00000000" w:rsidRPr="00000000">
        <w:rPr>
          <w:color w:val="000000"/>
          <w:rtl w:val="0"/>
        </w:rPr>
        <w:t xml:space="preserve">Tato kapitola (rozsah 1 strana) vymezuje: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volitelně kontejneru pro popis aplikace (ADC) a kontejneru pro odkazování na polohu (LRC). 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6">
      <w:pPr>
        <w:pStyle w:val="Heading1"/>
        <w:ind w:left="0" w:hanging="2"/>
        <w:rPr/>
      </w:pPr>
      <w:bookmarkStart w:colFirst="0" w:colLast="0" w:name="_heading=h.70y3xb1dvgqi" w:id="17"/>
      <w:bookmarkEnd w:id="17"/>
      <w:r w:rsidDel="00000000" w:rsidR="00000000" w:rsidRPr="00000000">
        <w:rPr>
          <w:rtl w:val="0"/>
        </w:rPr>
        <w:t xml:space="preserve">6 Struktura SPI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1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brázek) obsahuje UML model zprávy aplikace </w:t>
      </w:r>
      <w:r w:rsidDel="00000000" w:rsidR="00000000" w:rsidRPr="00000000">
        <w:rPr>
          <w:rtl w:val="0"/>
        </w:rPr>
        <w:t xml:space="preserve">SPI.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hanging="2"/>
        <w:rPr/>
      </w:pPr>
      <w:bookmarkStart w:colFirst="0" w:colLast="0" w:name="_heading=h.4d34og8" w:id="18"/>
      <w:bookmarkEnd w:id="18"/>
      <w:r w:rsidDel="00000000" w:rsidR="00000000" w:rsidRPr="00000000">
        <w:rPr/>
        <w:drawing>
          <wp:inline distB="0" distT="0" distL="0" distR="0">
            <wp:extent cx="5760720" cy="3761105"/>
            <wp:effectExtent b="0" l="0" r="0" t="0"/>
            <wp:docPr id="104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1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SPI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A">
      <w:pPr>
        <w:pStyle w:val="Heading1"/>
        <w:ind w:left="0" w:hanging="2"/>
        <w:rPr/>
      </w:pPr>
      <w:bookmarkStart w:colFirst="0" w:colLast="0" w:name="_heading=h.zeeuw5iep7ap" w:id="19"/>
      <w:bookmarkEnd w:id="19"/>
      <w:r w:rsidDel="00000000" w:rsidR="00000000" w:rsidRPr="00000000">
        <w:rPr>
          <w:rtl w:val="0"/>
        </w:rPr>
        <w:t xml:space="preserve">7 Komponenty zprávy SPI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 strany, 2 tabulky) popisuje jednotlivé komponenty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Stanovuje základní strukturu zprávy SPI, „SpeedInformationMessage“ může obsahovat informaci o omezení rychlosti (včetně typu, času, platnosti, a úseků) a informaci o poloze, ne nezbytně té samé zprávě. 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7dp8vu" w:id="20"/>
      <w:bookmarkEnd w:id="20"/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stran, 2 tabulky)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2 použitých datových struktur (typů), </w:t>
      </w:r>
      <w:r w:rsidDel="00000000" w:rsidR="00000000" w:rsidRPr="00000000">
        <w:rPr>
          <w:b w:val="1"/>
          <w:rtl w:val="0"/>
        </w:rPr>
        <w:t xml:space="preserve">LaneNumber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  Na obrázku níže (Obrázek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) je, pro ilustraci obsahu a sloupců, uvedena část tabulky popisující datovou strukturu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2435225"/>
            <wp:effectExtent b="0" l="0" r="0" t="0"/>
            <wp:docPr id="104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5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bookmarkStart w:colFirst="0" w:colLast="0" w:name="_heading=h.3rdcrjn" w:id="21"/>
      <w:bookmarkEnd w:id="21"/>
      <w:r w:rsidDel="00000000" w:rsidR="00000000" w:rsidRPr="00000000">
        <w:rPr>
          <w:sz w:val="18"/>
          <w:szCs w:val="18"/>
          <w:rtl w:val="0"/>
        </w:rPr>
        <w:t xml:space="preserve">Obrázek 2 - Ukázka části struktury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sz w:val="18"/>
          <w:szCs w:val="18"/>
          <w:rtl w:val="0"/>
        </w:rPr>
        <w:t xml:space="preserve"> (tabulka 4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3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lnxbz9" w:id="22"/>
      <w:bookmarkEnd w:id="2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definice výčtových typů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iykewot5vw7m" w:id="23"/>
      <w:bookmarkEnd w:id="23"/>
      <w:r w:rsidDel="00000000" w:rsidR="00000000" w:rsidRPr="00000000">
        <w:rPr>
          <w:sz w:val="18"/>
          <w:szCs w:val="18"/>
          <w:rtl w:val="0"/>
        </w:rPr>
        <w:t xml:space="preserve">Tabulka 1 - Seznam tabulek SPI (výčtů hodnot) (zdroj: autor extraktu)</w:t>
      </w:r>
    </w:p>
    <w:tbl>
      <w:tblPr>
        <w:tblStyle w:val="Table2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SPI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spi001:SpeedInformationType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rychlostního omezení.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př.:001: static speed limit 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2jxsxqh" w:id="24"/>
            <w:bookmarkEnd w:id="24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spi002:Context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kontextů pro informaci řidiči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weather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z337ya" w:id="25"/>
            <w:bookmarkEnd w:id="25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spi003:VehicleType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vozidel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bus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3j2qqm3" w:id="26"/>
            <w:bookmarkEnd w:id="26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spi004:InformationUnit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jednotek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metresPerSecond</w:t>
            </w:r>
          </w:p>
        </w:tc>
      </w:tr>
    </w:tbl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obsahuje ukázku tabulky „</w:t>
      </w:r>
      <w:r w:rsidDel="00000000" w:rsidR="00000000" w:rsidRPr="00000000">
        <w:rPr>
          <w:rtl w:val="0"/>
        </w:rPr>
        <w:t xml:space="preserve">SPI002:ModeType</w:t>
      </w:r>
      <w:r w:rsidDel="00000000" w:rsidR="00000000" w:rsidRPr="00000000">
        <w:rPr>
          <w:color w:val="000000"/>
          <w:rtl w:val="0"/>
        </w:rPr>
        <w:t xml:space="preserve">” z popisovaného dokumentu.</w:t>
      </w:r>
    </w:p>
    <w:p w:rsidR="00000000" w:rsidDel="00000000" w:rsidP="00000000" w:rsidRDefault="00000000" w:rsidRPr="00000000" w14:paraId="0000004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  <w:sz w:val="18"/>
          <w:szCs w:val="18"/>
        </w:rPr>
      </w:pPr>
      <w:bookmarkStart w:colFirst="0" w:colLast="0" w:name="_heading=h.wpo5mx1gy36r" w:id="27"/>
      <w:bookmarkEnd w:id="27"/>
      <w:r w:rsidDel="00000000" w:rsidR="00000000" w:rsidRPr="00000000">
        <w:rPr>
          <w:color w:val="000000"/>
          <w:sz w:val="18"/>
          <w:szCs w:val="18"/>
          <w:rtl w:val="0"/>
        </w:rPr>
        <w:t xml:space="preserve">Tabulka 2 -</w:t>
      </w: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Příklad části definice výčtového typu </w:t>
      </w:r>
      <w:r w:rsidDel="00000000" w:rsidR="00000000" w:rsidRPr="00000000">
        <w:rPr>
          <w:sz w:val="18"/>
          <w:szCs w:val="18"/>
          <w:rtl w:val="0"/>
        </w:rPr>
        <w:t xml:space="preserve">SPI002:Context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(tabulka 6 normy)</w:t>
      </w:r>
    </w:p>
    <w:tbl>
      <w:tblPr>
        <w:tblStyle w:val="Table3"/>
        <w:tblW w:w="9044.0" w:type="dxa"/>
        <w:jc w:val="left"/>
        <w:tblInd w:w="131.0" w:type="dxa"/>
        <w:tblLayout w:type="fixed"/>
        <w:tblLook w:val="0000"/>
      </w:tblPr>
      <w:tblGrid>
        <w:gridCol w:w="2519"/>
        <w:gridCol w:w="2550"/>
        <w:gridCol w:w="3975"/>
        <w:tblGridChange w:id="0">
          <w:tblGrid>
            <w:gridCol w:w="2519"/>
            <w:gridCol w:w="2550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důvod rychlostního omezení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doprava (traffic)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dopravy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nehody</w:t>
            </w:r>
          </w:p>
        </w:tc>
      </w:tr>
    </w:tbl>
    <w:p w:rsidR="00000000" w:rsidDel="00000000" w:rsidP="00000000" w:rsidRDefault="00000000" w:rsidRPr="00000000" w14:paraId="0000005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8"/>
      <w:bookmarkEnd w:id="2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9"/>
      <w:bookmarkEnd w:id="29"/>
      <w:r w:rsidDel="00000000" w:rsidR="00000000" w:rsidRPr="00000000">
        <w:rPr>
          <w:color w:val="000000"/>
          <w:rtl w:val="0"/>
        </w:rPr>
        <w:t xml:space="preserve">Tato příloha (rozsah 4 strany) stanovuje binární reprezentaci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30"/>
      <w:bookmarkEnd w:id="30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PTTravelDetails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5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31"/>
      <w:bookmarkEnd w:id="31"/>
      <w:r w:rsidDel="00000000" w:rsidR="00000000" w:rsidRPr="00000000">
        <w:rPr>
          <w:sz w:val="18"/>
          <w:szCs w:val="18"/>
          <w:rtl w:val="0"/>
        </w:rPr>
        <w:t xml:space="preserve">Tabulka 3 -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  <w:t xml:space="preserve">SpeedInformationMessage</w:t>
      </w:r>
      <w:r w:rsidDel="00000000" w:rsidR="00000000" w:rsidRPr="00000000">
        <w:rPr>
          <w:sz w:val="18"/>
          <w:szCs w:val="18"/>
          <w:rtl w:val="0"/>
        </w:rPr>
        <w:t xml:space="preserve"> (článek A.4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31"/>
        <w:gridCol w:w="4754"/>
        <w:tblGridChange w:id="0">
          <w:tblGrid>
            <w:gridCol w:w="4531"/>
            <w:gridCol w:w="47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&lt;SpeedInformationMessage(0)&gt;:=</w:t>
            </w:r>
          </w:p>
        </w:tc>
        <w:tc>
          <w:tcPr/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&lt;IntUnTi&gt;</w:t>
            </w:r>
            <w:r w:rsidDel="00000000" w:rsidR="00000000" w:rsidRPr="00000000">
              <w:rPr>
                <w:rtl w:val="0"/>
              </w:rPr>
              <w:t xml:space="preserve">(0),</w:t>
            </w:r>
          </w:p>
        </w:tc>
        <w:tc>
          <w:tcPr/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(lengthComp),</w:t>
            </w:r>
          </w:p>
        </w:tc>
        <w:tc>
          <w:tcPr/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(lengthAttr),</w:t>
            </w:r>
          </w:p>
        </w:tc>
        <w:tc>
          <w:tcPr/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40" w:lineRule="auto"/>
              <w:ind w:left="0" w:hanging="2"/>
              <w:rPr/>
            </w:pPr>
            <w:bookmarkStart w:colFirst="0" w:colLast="0" w:name="_heading=h.1y810tw" w:id="32"/>
            <w:bookmarkEnd w:id="32"/>
            <w:r w:rsidDel="00000000" w:rsidR="00000000" w:rsidRPr="00000000">
              <w:rPr>
                <w:rtl w:val="0"/>
              </w:rPr>
              <w:t xml:space="preserve">   </w:t>
            </w:r>
            <w:r w:rsidDel="00000000" w:rsidR="00000000" w:rsidRPr="00000000">
              <w:rPr>
                <w:b w:val="1"/>
                <w:rtl w:val="0"/>
              </w:rPr>
              <w:t xml:space="preserve">&lt;MMCSwitch&gt;</w:t>
            </w:r>
            <w:r w:rsidDel="00000000" w:rsidR="00000000" w:rsidRPr="00000000">
              <w:rPr>
                <w:rtl w:val="0"/>
              </w:rPr>
              <w:t xml:space="preserve">(mmt),</w:t>
            </w:r>
          </w:p>
        </w:tc>
        <w:tc>
          <w:tcPr/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kontejner pro management zpráv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&lt;SpeedInformation&gt;</w:t>
            </w:r>
            <w:r w:rsidDel="00000000" w:rsidR="00000000" w:rsidRPr="00000000">
              <w:rPr>
                <w:rtl w:val="0"/>
              </w:rPr>
              <w:t xml:space="preserve">(speedInfo)[0..1],</w:t>
            </w:r>
          </w:p>
        </w:tc>
        <w:tc>
          <w:tcPr/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popis informace s omezením rychlosti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&lt;LocationReferencingLink&gt;</w:t>
            </w:r>
            <w:r w:rsidDel="00000000" w:rsidR="00000000" w:rsidRPr="00000000">
              <w:rPr>
                <w:rtl w:val="0"/>
              </w:rPr>
              <w:t xml:space="preserve">(location)[0..1]</w:t>
            </w:r>
          </w:p>
        </w:tc>
        <w:tc>
          <w:tcPr/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kontejner pro odkazování na polohu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&lt;xs:complexType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"LaneNumber"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 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&lt;xs:sequence&gt; 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"lane2"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"lane3"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&lt;!-- zkráceno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"lane19andMore"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"innerSideHardShoulder"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&lt;/xs:sequence&gt; 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&lt;/xs:complexType&gt;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3 -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LaneNumber (článek B.3.1 normy)</w:t>
      </w:r>
    </w:p>
    <w:p w:rsidR="00000000" w:rsidDel="00000000" w:rsidP="00000000" w:rsidRDefault="00000000" w:rsidRPr="00000000" w14:paraId="0000007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Příklady dopravních značek omezujících rychlost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 stran) obsahuje 10 obrázků značek omezujících rychlost (i nepřímo, podle rychlosti vozidla vpředu) a jejich krátký popis.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1141730"/>
            <wp:effectExtent b="0" l="0" r="0" t="0"/>
            <wp:docPr id="104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1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4 - Ukázka části tabulky s příklady dopravních značek (tabulka C.19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D (informativní) Modelové příklady</w:t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stránka</w:t>
      </w:r>
      <w:r w:rsidDel="00000000" w:rsidR="00000000" w:rsidRPr="00000000">
        <w:rPr>
          <w:color w:val="000000"/>
          <w:rtl w:val="0"/>
        </w:rPr>
        <w:t xml:space="preserve">) obsahuje 10 modelových příkladů zakódování rychlostního omezení pro různé situace. Každý příklad je popsán schématem rozložení dopravních </w:t>
      </w:r>
      <w:r w:rsidDel="00000000" w:rsidR="00000000" w:rsidRPr="00000000">
        <w:rPr>
          <w:color w:val="000000"/>
          <w:rtl w:val="0"/>
        </w:rPr>
        <w:t xml:space="preserve">značek</w:t>
      </w:r>
      <w:r w:rsidDel="00000000" w:rsidR="00000000" w:rsidRPr="00000000">
        <w:rPr>
          <w:color w:val="000000"/>
          <w:rtl w:val="0"/>
        </w:rPr>
        <w:t xml:space="preserve"> omezujících rychlost na pozemní komunikaci, promítnutím tohoto rozmístění do segmentů a tabulkou s hodnotami struktur SPI pro tento příklad.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Příklad D9: omezení rychlosti s kontrolou vzdálenosti vozidel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/>
        <w:drawing>
          <wp:inline distB="0" distT="0" distL="0" distR="0">
            <wp:extent cx="5760720" cy="2499626"/>
            <wp:effectExtent b="0" l="0" r="0" t="0"/>
            <wp:docPr id="1047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2"/>
                    <a:srcRect b="192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96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5 – Modelový příklad 9, </w:t>
      </w:r>
      <w:r w:rsidDel="00000000" w:rsidR="00000000" w:rsidRPr="00000000">
        <w:rPr>
          <w:color w:val="000000"/>
          <w:rtl w:val="0"/>
        </w:rPr>
        <w:t xml:space="preserve">omezení rychlosti s kontrolou vzdálenosti vozidel</w:t>
      </w:r>
      <w:r w:rsidDel="00000000" w:rsidR="00000000" w:rsidRPr="00000000">
        <w:rPr>
          <w:sz w:val="18"/>
          <w:szCs w:val="18"/>
          <w:rtl w:val="0"/>
        </w:rPr>
        <w:t xml:space="preserve"> (obrázek D.9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jc w:val="center"/>
        <w:rPr/>
      </w:pPr>
      <w:r w:rsidDel="00000000" w:rsidR="00000000" w:rsidRPr="00000000">
        <w:rPr>
          <w:rtl w:val="0"/>
        </w:rPr>
        <w:t xml:space="preserve">Tabulka 4 – vyplnění struktury SPI pro příklad 9 (tabulka D.9 normy)</w:t>
      </w:r>
    </w:p>
    <w:tbl>
      <w:tblPr>
        <w:tblStyle w:val="Table6"/>
        <w:tblW w:w="90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8"/>
        <w:gridCol w:w="1730"/>
        <w:gridCol w:w="2410"/>
        <w:gridCol w:w="2409"/>
        <w:tblGridChange w:id="0">
          <w:tblGrid>
            <w:gridCol w:w="2518"/>
            <w:gridCol w:w="1730"/>
            <w:gridCol w:w="2410"/>
            <w:gridCol w:w="240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SpeedLimitSegment</w:t>
            </w:r>
          </w:p>
        </w:tc>
        <w:tc>
          <w:tcPr/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speedLimitValue</w:t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spiType</w:t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static speed limit sign (1)</w:t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informationUnit</w:t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kiloMetresPerHour (1)</w:t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speedLimitStartPosition</w:t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speedLimitLength</w:t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1500</w:t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vehicleTypeRestriction</w:t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affectedLanes</w:t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1+2</w:t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A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část (rozsah 1 strana) obsahuje odkazy na literaturu i normy použité v popisovaném dokumentu.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uiPriority w:val="99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AL" w:customStyle="1">
    <w:name w:val="TAL"/>
    <w:basedOn w:val="Normln"/>
    <w:rsid w:val="003D36C0"/>
    <w:pPr>
      <w:keepNext w:val="1"/>
      <w:keepLines w:val="1"/>
      <w:spacing w:after="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en-US" w:val="en-GB"/>
    </w:rPr>
  </w:style>
  <w:style w:type="paragraph" w:styleId="Tabletitle" w:customStyle="1">
    <w:name w:val="Table title"/>
    <w:basedOn w:val="Normln"/>
    <w:uiPriority w:val="99"/>
    <w:rsid w:val="00E25D88"/>
    <w:pPr>
      <w:suppressAutoHyphens w:val="1"/>
      <w:spacing w:before="120" w:line="240" w:lineRule="atLeast"/>
      <w:ind w:left="0" w:leftChars="0" w:firstLine="0" w:firstLineChars="0"/>
      <w:jc w:val="center"/>
      <w:textDirection w:val="lrTb"/>
      <w:textAlignment w:val="auto"/>
      <w:outlineLvl w:val="9"/>
    </w:pPr>
    <w:rPr>
      <w:rFonts w:ascii="Cambria" w:cs="Times New Roman" w:eastAsia="Calibri" w:hAnsi="Cambria"/>
      <w:b w:val="1"/>
      <w:position w:val="0"/>
      <w:sz w:val="22"/>
      <w:szCs w:val="22"/>
      <w:lang w:bidi="ar-SA" w:eastAsia="en-US" w:val="en-GB"/>
    </w:rPr>
  </w:style>
  <w:style w:type="paragraph" w:styleId="Bezmezer">
    <w:name w:val="No Spacing"/>
    <w:uiPriority w:val="1"/>
    <w:qFormat w:val="1"/>
    <w:rsid w:val="00E25D88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rsid w:val="007364F6"/>
    <w:pPr>
      <w:tabs>
        <w:tab w:val="left" w:pos="1354"/>
      </w:tabs>
      <w:spacing w:after="240" w:line="220" w:lineRule="atLeast"/>
      <w:ind w:left="0" w:leftChars="0" w:firstLine="0" w:firstLineChars="0"/>
      <w:textDirection w:val="lrTb"/>
      <w:textAlignment w:val="auto"/>
      <w:outlineLvl w:val="9"/>
    </w:pPr>
    <w:rPr>
      <w:rFonts w:ascii="Cambria" w:cs="Times New Roman" w:eastAsia="Calibri" w:hAnsi="Cambria"/>
      <w:position w:val="0"/>
      <w:szCs w:val="22"/>
      <w:lang w:bidi="ar-SA" w:eastAsia="en-US" w:val="en-GB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phi1kr5DTWuKjQRQx6Ih8nn/yJA==">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