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 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19: Aplikace pro informace o počasí (TPEG2-WEA)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21219-19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2016, 60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  <w:tab/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19 normy TPEG „Aplikace pro informace o počasí (TPEG2-WEA)”, která popisuje kódování různě rozsáhlých zpráv o počasí.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2et92p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počasí. Počítá s prezentací těchto informací uživateli. Obsahuje významné množství výčtů (tabulek) stanovujících typy počasí a také převodník mezi těmito tabulkami a kódy WMO SYNOP. Je nezbytný pro analytiky provozovatele služby o počasí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bookmarkStart w:colFirst="0" w:colLast="0" w:name="_heading=h.exlj16mcv1lp" w:id="10"/>
      <w:bookmarkEnd w:id="10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definuje aplikaci TPEG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„</w:t>
      </w:r>
      <w:r w:rsidDel="00000000" w:rsidR="00000000" w:rsidRPr="00000000">
        <w:rPr>
          <w:rtl w:val="0"/>
        </w:rPr>
        <w:t xml:space="preserve">Aplikace pro informace o počasí</w:t>
      </w:r>
      <w:r w:rsidDel="00000000" w:rsidR="00000000" w:rsidRPr="00000000">
        <w:rPr>
          <w:color w:val="000000"/>
          <w:rtl w:val="0"/>
        </w:rPr>
        <w:t xml:space="preserve">“.</w:t>
      </w:r>
      <w:r w:rsidDel="00000000" w:rsidR="00000000" w:rsidRPr="00000000">
        <w:rPr>
          <w:rtl w:val="0"/>
        </w:rPr>
        <w:t xml:space="preserve"> Ta</w:t>
      </w:r>
      <w:r w:rsidDel="00000000" w:rsidR="00000000" w:rsidRPr="00000000">
        <w:rPr>
          <w:color w:val="000000"/>
          <w:rtl w:val="0"/>
        </w:rPr>
        <w:t xml:space="preserve"> umožňuje poskytování informací o počasí pro různé geografické oblasti (i hierarchicky propojené) v různém časovém horizontu. Informace o počasí mohou být velmi detailní. Tyto informace jsou určeny obecně cestujícím a nejsou omezeny módem dopravy ani není jejich cílem poskytnout varování o nebezpečné povětrnostní situaci řidičům, k tomu je určena </w:t>
      </w:r>
      <w:r w:rsidDel="00000000" w:rsidR="00000000" w:rsidRPr="00000000">
        <w:rPr>
          <w:color w:val="000000"/>
          <w:rtl w:val="0"/>
        </w:rPr>
        <w:t xml:space="preserve">jiná aplikace TPEG</w:t>
      </w:r>
      <w:r w:rsidDel="00000000" w:rsidR="00000000" w:rsidRPr="00000000">
        <w:rPr>
          <w:color w:val="000000"/>
          <w:rtl w:val="0"/>
        </w:rPr>
        <w:t xml:space="preserve"> (</w:t>
      </w:r>
      <w:r w:rsidDel="00000000" w:rsidR="00000000" w:rsidRPr="00000000">
        <w:rPr>
          <w:rtl w:val="0"/>
        </w:rPr>
        <w:t xml:space="preserve">TPEG-TEC, 21219-15)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2s8eyo1" w:id="9"/>
      <w:bookmarkEnd w:id="9"/>
      <w:r w:rsidDel="00000000" w:rsidR="00000000" w:rsidRPr="00000000">
        <w:rPr>
          <w:rtl w:val="0"/>
        </w:rPr>
        <w:t xml:space="preserve">Popisovaný dokument uvádí 3 normativní odkazy na normu TPEG2 ISO 21219 části 5, 6 a 9. Dále je v části Literatura odkázána řada v textu použitých normativních referencí.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rwk302au4u2u" w:id="11"/>
      <w:bookmarkEnd w:id="11"/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2"/>
      <w:bookmarkEnd w:id="12"/>
      <w:r w:rsidDel="00000000" w:rsidR="00000000" w:rsidRPr="00000000">
        <w:rPr>
          <w:color w:val="000000"/>
          <w:rtl w:val="0"/>
        </w:rPr>
        <w:t xml:space="preserve">Tato kapitola definuje 5 termíny, m.j.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3dy6vkm" w:id="13"/>
      <w:bookmarkEnd w:id="13"/>
      <w:r w:rsidDel="00000000" w:rsidR="00000000" w:rsidRPr="00000000">
        <w:rPr>
          <w:b w:val="1"/>
          <w:rtl w:val="0"/>
        </w:rPr>
        <w:t xml:space="preserve">kontejner pro management zprávy; MMC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(message management container) </w:t>
      </w:r>
      <w:r w:rsidDel="00000000" w:rsidR="00000000" w:rsidRPr="00000000">
        <w:rPr>
          <w:rtl w:val="0"/>
        </w:rPr>
        <w:t xml:space="preserve">část zprávy obsahující informace pro sestavení zprávy z dalších “aplikačního” a “polohového” kontejneru či pro řízení zprávy (například její zrušení).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65y1mt6m073l" w:id="14"/>
      <w:bookmarkEnd w:id="14"/>
      <w:r w:rsidDel="00000000" w:rsidR="00000000" w:rsidRPr="00000000">
        <w:rPr>
          <w:b w:val="1"/>
          <w:rtl w:val="0"/>
        </w:rPr>
        <w:t xml:space="preserve">kontejner pro odkazování na polohu; LRC </w:t>
      </w:r>
      <w:r w:rsidDel="00000000" w:rsidR="00000000" w:rsidRPr="00000000">
        <w:rPr>
          <w:i w:val="1"/>
          <w:rtl w:val="0"/>
        </w:rPr>
        <w:t xml:space="preserve">(location referencing container)  </w:t>
      </w:r>
      <w:r w:rsidDel="00000000" w:rsidR="00000000" w:rsidRPr="00000000">
        <w:rPr>
          <w:rtl w:val="0"/>
        </w:rPr>
        <w:t xml:space="preserve">část zprávy obsahující  informace o poloze odkazované dopravní informace či odkazovaného stavu dopravní situace.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713qvuvjb6b4" w:id="15"/>
      <w:bookmarkEnd w:id="15"/>
      <w:r w:rsidDel="00000000" w:rsidR="00000000" w:rsidRPr="00000000">
        <w:rPr>
          <w:b w:val="1"/>
          <w:color w:val="000000"/>
          <w:rtl w:val="0"/>
        </w:rPr>
        <w:t xml:space="preserve">odkazování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(Location Referencing)</w:t>
      </w:r>
      <w:r w:rsidDel="00000000" w:rsidR="00000000" w:rsidRPr="00000000">
        <w:rPr>
          <w:color w:val="000000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k2373fclpmbw" w:id="16"/>
      <w:bookmarkEnd w:id="16"/>
      <w:r w:rsidDel="00000000" w:rsidR="00000000" w:rsidRPr="00000000">
        <w:rPr>
          <w:rtl w:val="0"/>
        </w:rPr>
        <w:t xml:space="preserve">4 Symboly a zkratky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16 zkratek, důležité z pohledu tohoto extraktu jsou: 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rtl w:val="0"/>
        </w:rPr>
        <w:t xml:space="preserve">WEA</w:t>
      </w:r>
      <w:r w:rsidDel="00000000" w:rsidR="00000000" w:rsidRPr="00000000">
        <w:rPr>
          <w:b w:val="1"/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aplikace pro informace o informace o počasí </w:t>
      </w:r>
      <w:r w:rsidDel="00000000" w:rsidR="00000000" w:rsidRPr="00000000">
        <w:rPr>
          <w:i w:val="1"/>
          <w:rtl w:val="0"/>
        </w:rPr>
        <w:t xml:space="preserve">(Weather information application)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hanging="2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2">
      <w:pPr>
        <w:pStyle w:val="Heading1"/>
        <w:ind w:left="0" w:hanging="2"/>
        <w:rPr/>
      </w:pPr>
      <w:bookmarkStart w:colFirst="0" w:colLast="0" w:name="_heading=h.qfqfpgofc94p" w:id="17"/>
      <w:bookmarkEnd w:id="17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8"/>
      <w:bookmarkEnd w:id="18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a volitelně z kontejneru pro popis aplikace (ADC) a kontejneru pro odkazování na polohu (LRC). 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9">
      <w:pPr>
        <w:pStyle w:val="Heading1"/>
        <w:ind w:left="0" w:hanging="2"/>
        <w:rPr/>
      </w:pPr>
      <w:bookmarkStart w:colFirst="0" w:colLast="0" w:name="_heading=h.70y3xb1dvgqi" w:id="19"/>
      <w:bookmarkEnd w:id="19"/>
      <w:r w:rsidDel="00000000" w:rsidR="00000000" w:rsidRPr="00000000">
        <w:rPr>
          <w:rtl w:val="0"/>
        </w:rPr>
        <w:t xml:space="preserve">6 Struktura WEA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1 UML schéma) obsahuje UML model zprávy aplikace </w:t>
      </w:r>
      <w:r w:rsidDel="00000000" w:rsidR="00000000" w:rsidRPr="00000000">
        <w:rPr>
          <w:rtl w:val="0"/>
        </w:rPr>
        <w:t xml:space="preserve">WEA.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20"/>
      <w:bookmarkEnd w:id="20"/>
      <w:r w:rsidDel="00000000" w:rsidR="00000000" w:rsidRPr="00000000">
        <w:rPr>
          <w:color w:val="000000"/>
        </w:rPr>
        <w:drawing>
          <wp:inline distB="0" distT="0" distL="0" distR="0">
            <wp:extent cx="5760720" cy="5274945"/>
            <wp:effectExtent b="0" l="0" r="0" t="0"/>
            <wp:docPr id="104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4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WEA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D">
      <w:pPr>
        <w:pStyle w:val="Heading1"/>
        <w:ind w:left="0" w:hanging="2"/>
        <w:rPr/>
      </w:pPr>
      <w:bookmarkStart w:colFirst="0" w:colLast="0" w:name="_heading=h.zeeuw5iep7ap" w:id="21"/>
      <w:bookmarkEnd w:id="21"/>
      <w:r w:rsidDel="00000000" w:rsidR="00000000" w:rsidRPr="00000000">
        <w:rPr>
          <w:rtl w:val="0"/>
        </w:rPr>
        <w:t xml:space="preserve">7 Komponenty zprávy WEA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8</w:t>
      </w:r>
      <w:r w:rsidDel="00000000" w:rsidR="00000000" w:rsidRPr="00000000">
        <w:rPr>
          <w:color w:val="000000"/>
          <w:rtl w:val="0"/>
        </w:rPr>
        <w:t xml:space="preserve"> stran, tabulky, obrázky) popisuje jednotlivé komponenty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  <w:t xml:space="preserve"> Cílem je zavést hierarchickou strukturu vzájemně propojených zpráv s různým pokrytím či časovými horizonty předpovědí.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hanging="2"/>
        <w:rPr/>
      </w:pPr>
      <w:r w:rsidDel="00000000" w:rsidR="00000000" w:rsidRPr="00000000">
        <w:rPr>
          <w:rtl w:val="0"/>
        </w:rPr>
        <w:t xml:space="preserve">Stanovuje pro zprávu WEA její základní strukturu a detailně popisuje její jednotlivé součásti. Základní zpráva „WeatherMessage“ může obsahovat informaci o počasí (WeatherInformation) a informaci o poloze (LocationReferencingContainerLink), ne nezbytně v jedné zprávě.</w:t>
      </w:r>
    </w:p>
    <w:p w:rsidR="00000000" w:rsidDel="00000000" w:rsidP="00000000" w:rsidRDefault="00000000" w:rsidRPr="00000000" w14:paraId="00000030">
      <w:pPr>
        <w:ind w:left="-2" w:firstLine="0"/>
        <w:rPr/>
      </w:pPr>
      <w:r w:rsidDel="00000000" w:rsidR="00000000" w:rsidRPr="00000000">
        <w:rPr>
          <w:rtl w:val="0"/>
        </w:rPr>
        <w:t xml:space="preserve">Informace o počasí se skládá z typu popisované oblasti, samotného reportu (WeatherReport) a souvisejících reportů odkázaných prostřednictvím ID. Každá zpráva o počasí sestává z typu reportu a položky (WeatherItem) a možného detailního reportu. Položka (WeatherItem) již obsahuje konkrétní informace o počasí, včetně předpovědi (OutlookTrend) podrobných číselných statistik (WeatherStatistics), varování před specifickým počasím (WeatherWarning) a výškového rozložení počasí (AltitudeElements).</w:t>
      </w:r>
    </w:p>
    <w:p w:rsidR="00000000" w:rsidDel="00000000" w:rsidP="00000000" w:rsidRDefault="00000000" w:rsidRPr="00000000" w14:paraId="00000031">
      <w:pPr>
        <w:ind w:left="-2" w:firstLine="0"/>
        <w:rPr/>
      </w:pPr>
      <w:r w:rsidDel="00000000" w:rsidR="00000000" w:rsidRPr="00000000">
        <w:rPr>
          <w:rtl w:val="0"/>
        </w:rPr>
        <w:t xml:space="preserve">Položka WeatherStatistics (kap 7.5) pokrývá 25 číselných údajů o počasí jako jsou teplota, vítr, rosný bod, východ slunce, tlak, srážky a další. 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lnxbz9" w:id="22"/>
      <w:bookmarkEnd w:id="22"/>
      <w:r w:rsidDel="00000000" w:rsidR="00000000" w:rsidRPr="00000000">
        <w:rPr>
          <w:rtl w:val="0"/>
        </w:rPr>
        <w:t xml:space="preserve">Tato kapitola (rozsah 1 strana) obsahuje definice 2 použitých datových struktur (typů).  Konkrétně LinkedMessage umožňující hierarchicky propojit zprávy mezi sebou pomocí messageID a Element</w:t>
      </w:r>
      <w:r w:rsidDel="00000000" w:rsidR="00000000" w:rsidRPr="00000000">
        <w:rPr>
          <w:color w:val="000000"/>
          <w:rtl w:val="0"/>
        </w:rPr>
        <w:t xml:space="preserve"> kvalitativně popisující typ počasí.  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20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(v 29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iykewot5vw7m" w:id="23"/>
      <w:bookmarkEnd w:id="2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tabulek WEA (výčtů hodnot) (zdroj: autor extraktu)</w:t>
      </w:r>
    </w:p>
    <w:tbl>
      <w:tblPr>
        <w:tblStyle w:val="Table2"/>
        <w:tblW w:w="9196.0" w:type="dxa"/>
        <w:jc w:val="left"/>
        <w:tblInd w:w="-5.0" w:type="dxa"/>
        <w:tblLayout w:type="fixed"/>
        <w:tblLook w:val="0000"/>
      </w:tblPr>
      <w:tblGrid>
        <w:gridCol w:w="3402"/>
        <w:gridCol w:w="3119"/>
        <w:gridCol w:w="2675"/>
        <w:tblGridChange w:id="0">
          <w:tblGrid>
            <w:gridCol w:w="3402"/>
            <w:gridCol w:w="3119"/>
            <w:gridCol w:w="2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WEA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wea000:ReportType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reportu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Př.:002: Daily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wea001:Period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období platnosti (0-50)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019: Dusk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wea002:TrendItem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vývoje počasí (0-16)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hotter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wea003:Direction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počasí (0-16)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013: W (west)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wea004:PressureTendency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tlaku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Falling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wea005:Visibility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Viditelnost 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Poor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wea006:SeaState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Výška vln na moři (0-7)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Rough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wea007:PollenCount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Množství pylových částic (0-3)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002: 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wea008:AirQuality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Kvalita počasí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Unhealthy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wea009:WarningLevel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úroveň hrozby počasí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Bad weather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wea010:UVIndex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UV index (0-11)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010: 10-very high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wea011:GeoSignificance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Význam / rozsah (0-9)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City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wea012:WindDirectionTrend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směru větru (0-2)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Veering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wea013:WindSpeedTrend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Trend rychlosti větru (0-4)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Decreasing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wea014:ContentType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typu obsahu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Pressure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wea099:ElementSubTable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podtypů počasí (0)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prázdná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wea100:ElementType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elementů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wea106_FogElements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wea101:RainElements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deštivého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Damp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wea102:SnowElements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sněžného počasí (0-14)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006: Low drifting snow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wea103:SleetHailElements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špatného počasí (0-11)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Light sleet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wea104:WindElements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větrného počasí (0-27)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Hurricane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wea105:StormElements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bouřkového počasí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012: Sand storm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wea106:FogElements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mlžného počasí (0-13)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Shallow fog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wea107:FrostElements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ledového počasí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004: Severe frost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wea108:SunshineCloudElements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slunečné oblačnosti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005: A few clouds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wea109:TemperatureElements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teploty (0-12)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Heat-wave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wea110:HazardElements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hrozby (0-13)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005: Landslides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wea200:ElementQualifier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 prostředí (0-25)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003: Urban 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wea201:ElementQualifierProbability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Pravděpodobnost realizace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10 %</w:t>
            </w:r>
          </w:p>
        </w:tc>
      </w:tr>
    </w:tbl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</w:t>
      </w:r>
      <w:r w:rsidDel="00000000" w:rsidR="00000000" w:rsidRPr="00000000">
        <w:rPr>
          <w:rtl w:val="0"/>
        </w:rPr>
        <w:t xml:space="preserve">ásledující tabulka obsahuje ukázku tabulky „wea200:ElementQualifier” z popisovaného dokumentu.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24"/>
      <w:bookmarkEnd w:id="2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2 -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wea200:ElementQualifier (tabulka 41 normy)</w:t>
      </w:r>
    </w:p>
    <w:tbl>
      <w:tblPr>
        <w:tblStyle w:val="Table3"/>
        <w:tblW w:w="9180.0" w:type="dxa"/>
        <w:jc w:val="left"/>
        <w:tblInd w:w="-5.0" w:type="dxa"/>
        <w:tblLayout w:type="fixed"/>
        <w:tblLook w:val="0000"/>
      </w:tblPr>
      <w:tblGrid>
        <w:gridCol w:w="709"/>
        <w:gridCol w:w="2410"/>
        <w:gridCol w:w="6061"/>
        <w:tblGridChange w:id="0">
          <w:tblGrid>
            <w:gridCol w:w="709"/>
            <w:gridCol w:w="2410"/>
            <w:gridCol w:w="60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některých oblastech (In some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celkové oblasti, na kterou se odkazuje, se prvek nemusí vyskytovat všude, ale jen na některých místech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Nízko položené oblasti (Low lying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Prvky jako mlha se mohou častěji vyskytovat v údolích a nízkých polohách v blízkosti řek.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Vyvýšená místa (High ground)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Prvky jako mráz a sníh mohou být pravděpodobnější ve vysokých oblastech.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Městské oblasti (Urban areas)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Městské oblasti mají vlastní mikroklima, takže někdy bývají teplejší nebo může být problémem smog.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5"/>
      <w:bookmarkEnd w:id="2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6"/>
      <w:bookmarkEnd w:id="26"/>
      <w:r w:rsidDel="00000000" w:rsidR="00000000" w:rsidRPr="00000000">
        <w:rPr>
          <w:color w:val="000000"/>
          <w:rtl w:val="0"/>
        </w:rPr>
        <w:t xml:space="preserve">Tato příloha (rozsah 9 stran) stanovuje binární reprezentaci aplikace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4sinio" w:id="27"/>
      <w:bookmarkEnd w:id="27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a jejích součástí, prvků </w:t>
      </w:r>
      <w:r w:rsidDel="00000000" w:rsidR="00000000" w:rsidRPr="00000000">
        <w:rPr>
          <w:rtl w:val="0"/>
        </w:rPr>
        <w:t xml:space="preserve">určených pro budoucí rozšíření a datových typů. Dále obsahuje identifikátory komponent zprávy a vysvětlení použití obecných atributů TPEG. Příklad pseudokódu binární specifikace prvku WeatherReport je uveden v následující tabulce.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y0ayy7lgb8no" w:id="28"/>
      <w:bookmarkEnd w:id="2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Příklad pseudokódu binární specifikace prvku WeatherReport (článek A.4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64"/>
        <w:gridCol w:w="5321"/>
        <w:tblGridChange w:id="0">
          <w:tblGrid>
            <w:gridCol w:w="3964"/>
            <w:gridCol w:w="53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&lt;WeatherReport(6)&gt;:=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&lt;IntUnTi&gt;(6),</w:t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Id této komponenty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komponentě, kromě indikátorů id a lengthComp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&lt;wea000:ReportType&gt;(reportType),</w:t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stanovuje časový rámec reportu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&lt;WeatherItem&gt;(weatherDefinition),</w:t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hlavní část zprávy o počasí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 * &lt;WeatherReport&gt;(moreDetailedReport)</w:t>
            </w:r>
          </w:p>
        </w:tc>
        <w:tc>
          <w:tcPr/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volitelné další úrovně reportu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WEA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14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WEA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bookmarkStart w:colFirst="0" w:colLast="0" w:name="_heading=h.17dp8vu" w:id="29"/>
            <w:bookmarkEnd w:id="29"/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 name=″WeatherReport”&gt;</w:t>
            </w:r>
          </w:p>
          <w:p w:rsidR="00000000" w:rsidDel="00000000" w:rsidP="00000000" w:rsidRDefault="00000000" w:rsidRPr="00000000" w14:paraId="000000BD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&lt;xs:sequence&gt;</w:t>
            </w:r>
          </w:p>
          <w:p w:rsidR="00000000" w:rsidDel="00000000" w:rsidP="00000000" w:rsidRDefault="00000000" w:rsidRPr="00000000" w14:paraId="000000BE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name=″reportType″ type=″wea000_ReportType″/&gt;</w:t>
            </w:r>
          </w:p>
          <w:p w:rsidR="00000000" w:rsidDel="00000000" w:rsidP="00000000" w:rsidRDefault="00000000" w:rsidRPr="00000000" w14:paraId="000000BF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name=″weatherDefinition″ type=″WeatherItem″/&gt;</w:t>
            </w:r>
          </w:p>
          <w:p w:rsidR="00000000" w:rsidDel="00000000" w:rsidP="00000000" w:rsidRDefault="00000000" w:rsidRPr="00000000" w14:paraId="000000C0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&lt;xs:element name=″moreDetailedReport″ type=″WeatherReport″ minOccurs=″0″</w:t>
            </w:r>
          </w:p>
          <w:p w:rsidR="00000000" w:rsidDel="00000000" w:rsidP="00000000" w:rsidRDefault="00000000" w:rsidRPr="00000000" w14:paraId="000000C1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maxOccurs=″unbounded″/&gt;</w:t>
            </w:r>
          </w:p>
          <w:p w:rsidR="00000000" w:rsidDel="00000000" w:rsidP="00000000" w:rsidRDefault="00000000" w:rsidRPr="00000000" w14:paraId="000000C2">
            <w:pP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&lt;/xs:sequence&gt;</w:t>
            </w:r>
          </w:p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</w:t>
            </w:r>
          </w:p>
        </w:tc>
      </w:tr>
    </w:tbl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Výstřižek schématu XSD stanovujícího strukturu prvku WeatherReport (článek B.1.3 normy)</w:t>
      </w:r>
    </w:p>
    <w:p w:rsidR="00000000" w:rsidDel="00000000" w:rsidP="00000000" w:rsidRDefault="00000000" w:rsidRPr="00000000" w14:paraId="000000C5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C (informativní) Vypracované příklady</w:t>
      </w:r>
    </w:p>
    <w:p w:rsidR="00000000" w:rsidDel="00000000" w:rsidP="00000000" w:rsidRDefault="00000000" w:rsidRPr="00000000" w14:paraId="000000C6">
      <w:pP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mo</w:t>
      </w:r>
      <w:r w:rsidDel="00000000" w:rsidR="00000000" w:rsidRPr="00000000">
        <w:rPr>
          <w:color w:val="000000"/>
          <w:rtl w:val="0"/>
        </w:rPr>
        <w:t xml:space="preserve">žné vizualizace informace o poč</w:t>
      </w:r>
      <w:r w:rsidDel="00000000" w:rsidR="00000000" w:rsidRPr="00000000">
        <w:rPr>
          <w:rtl w:val="0"/>
        </w:rPr>
        <w:t xml:space="preserve">así</w:t>
      </w:r>
      <w:r w:rsidDel="00000000" w:rsidR="00000000" w:rsidRPr="00000000">
        <w:rPr>
          <w:color w:val="000000"/>
          <w:rtl w:val="0"/>
        </w:rPr>
        <w:t xml:space="preserve"> a UML dia</w:t>
      </w:r>
      <w:r w:rsidDel="00000000" w:rsidR="00000000" w:rsidRPr="00000000">
        <w:rPr>
          <w:color w:val="000000"/>
          <w:rtl w:val="0"/>
        </w:rPr>
        <w:t xml:space="preserve">gramy (většinou nečitelné) pro 3 příklady hlášení počasí, od jednoduchého až po hierarchické oblastní hlášení pomocí propojených reportů.</w:t>
      </w:r>
    </w:p>
    <w:p w:rsidR="00000000" w:rsidDel="00000000" w:rsidP="00000000" w:rsidRDefault="00000000" w:rsidRPr="00000000" w14:paraId="000000C7">
      <w:pPr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3872019" cy="2929196"/>
            <wp:effectExtent b="0" l="0" r="0" t="0"/>
            <wp:docPr id="10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2019" cy="29291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3 – Ukázka vizualizace jednoduchého hlášení o počasí (obrázek C.1 normy)</w:t>
      </w:r>
    </w:p>
    <w:p w:rsidR="00000000" w:rsidDel="00000000" w:rsidP="00000000" w:rsidRDefault="00000000" w:rsidRPr="00000000" w14:paraId="000000C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D (informativní) Doporučený překlad mezi tabulkami WEA a WMO SYNOP kódy pozorování</w:t>
      </w:r>
    </w:p>
    <w:p w:rsidR="00000000" w:rsidDel="00000000" w:rsidP="00000000" w:rsidRDefault="00000000" w:rsidRPr="00000000" w14:paraId="000000CA">
      <w:pP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tabulku stanovující propojení mezi kódy SYNOP a kódy stanovenými v popisovaném dokumentu.</w:t>
      </w:r>
    </w:p>
    <w:p w:rsidR="00000000" w:rsidDel="00000000" w:rsidP="00000000" w:rsidRDefault="00000000" w:rsidRPr="00000000" w14:paraId="000000CB">
      <w:pP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1831340"/>
            <wp:effectExtent b="0" l="0" r="0" t="0"/>
            <wp:docPr id="104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1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– Výstřižek z tabulky propojení SYNOP a WEA (tabulka D.1 normy)</w:t>
      </w:r>
    </w:p>
    <w:p w:rsidR="00000000" w:rsidDel="00000000" w:rsidP="00000000" w:rsidRDefault="00000000" w:rsidRPr="00000000" w14:paraId="000000C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část (rozsah 1 strana) obsahuje odkazy na literaturu i normy použité v popisovaném dokumentu.</w:t>
      </w:r>
    </w:p>
    <w:p w:rsidR="00000000" w:rsidDel="00000000" w:rsidP="00000000" w:rsidRDefault="00000000" w:rsidRPr="00000000" w14:paraId="000000CF">
      <w:pP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sectPr>
      <w:footerReference r:id="rId12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Bezmezer">
    <w:name w:val="No Spacing"/>
    <w:uiPriority w:val="1"/>
    <w:qFormat w:val="1"/>
    <w:rsid w:val="00194C61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6tIJlIt1lJkrpvwO4F8J65+MjIA==">AMUW2mVF8Y2c9XDK/ExJzc0bM9oWh98tz4QL0fLStcYlZYlr76yMKF3X8EssaR8OO+mZ4OCAPJ7V/74rGUPavsHf4TV2yqVtYgbPN1FE2hYY4yr76CMvsfDN/rmKsKbGCc3SG+2YnxPEuak7oQuRVNvvrmNCauBdQKOipGwiVYoXrYcxMuFgjdqvHDYTu1SIzBPAtCnCyvN8DaQTwIbs0yXPafidry9nDBzDuAhvLJk8zctK9tVUTLy6YTs8CoQo5OuYd56qkh3jWsK/OpitdQBqEvd2xXH/8oGP8g0SF9RcWhWs20aMJFm0LnY8XfVibWL8guUb9AR5zwZQsMbgIyWsKBeGlRFzLnxHtFJ6MstvsFjc0Kax2gNUzgMU/Z4Lm1Ap3AlgWHZKWW1AFNpR7cnOhfKM9Qx7xur/dxBRRFSHzOAQrmuIVwTFPLTnWgNOTstSfRTvcBNiwfUmt6nJyVO4IVZFEeYC3SReN/uFRlRkdYP7AiIJ5ZB67oCX98cxOSSHvOLUdoXlMMLxqit0nXrPXILGexVBNya2rJR3IxI2I6zjWqfBFNFPjcKB6m37+ML/DcLWlwG6WyrSGyC7WNzwNSpJUEmFbweptt+Tpmt/SZeROLTxY64iJm9ujlD795CyaNi4ybc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