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1"/>
        <w:keepLines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pos="7080"/>
          <w:tab w:val="right" w:pos="9923"/>
        </w:tabs>
        <w:spacing w:after="60" w:lineRule="auto"/>
        <w:ind w:left="2" w:hanging="4"/>
        <w:jc w:val="center"/>
        <w:rPr>
          <w:b w:val="1"/>
          <w:color w:val="000000"/>
          <w:sz w:val="40"/>
          <w:szCs w:val="40"/>
        </w:rPr>
      </w:pPr>
      <w:bookmarkStart w:colFirst="0" w:colLast="0" w:name="_heading=h.gjdgxs" w:id="0"/>
      <w:bookmarkEnd w:id="0"/>
      <w:r w:rsidDel="00000000" w:rsidR="00000000" w:rsidRPr="00000000">
        <w:rPr>
          <w:b w:val="1"/>
          <w:color w:val="000000"/>
          <w:sz w:val="40"/>
          <w:szCs w:val="40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leftMargin">
              <wp:posOffset>0</wp:posOffset>
            </wp:positionH>
            <wp:positionV relativeFrom="topMargin">
              <wp:posOffset>-449577</wp:posOffset>
            </wp:positionV>
            <wp:extent cx="75565" cy="151765"/>
            <wp:effectExtent b="0" l="0" r="0" t="0"/>
            <wp:wrapSquare wrapText="bothSides" distB="0" distT="0" distL="114300" distR="114300"/>
            <wp:docPr id="104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565" cy="15176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sdt>
        <w:sdtPr>
          <w:tag w:val="goog_rdk_0"/>
        </w:sdtPr>
        <w:sdtContent/>
      </w:sdt>
      <w:sdt>
        <w:sdtPr>
          <w:tag w:val="goog_rdk_1"/>
        </w:sdtPr>
        <w:sdtContent/>
      </w:sdt>
      <w:r w:rsidDel="00000000" w:rsidR="00000000" w:rsidRPr="00000000">
        <w:rPr>
          <w:b w:val="1"/>
          <w:color w:val="000000"/>
          <w:sz w:val="40"/>
          <w:szCs w:val="40"/>
          <w:rtl w:val="0"/>
        </w:rPr>
        <w:t xml:space="preserve">EXTRAKT z technické specifikace ISO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0" w:hanging="2"/>
        <w:rPr>
          <w:color w:val="000000"/>
          <w:sz w:val="16"/>
          <w:szCs w:val="16"/>
        </w:rPr>
      </w:pPr>
      <w:bookmarkStart w:colFirst="0" w:colLast="0" w:name="_heading=h.30j0zll" w:id="1"/>
      <w:bookmarkEnd w:id="1"/>
      <w:r w:rsidDel="00000000" w:rsidR="00000000" w:rsidRPr="00000000">
        <w:rPr>
          <w:b w:val="1"/>
          <w:color w:val="000000"/>
          <w:rtl w:val="0"/>
        </w:rPr>
        <w:t xml:space="preserve">Extrakt nenahrazuje samotnou technickou normu, je pouze informativním materiálem o normě.</w:t>
      </w:r>
      <w:r w:rsidDel="00000000" w:rsidR="00000000" w:rsidRPr="00000000">
        <w:rPr>
          <w:rtl w:val="0"/>
        </w:rPr>
      </w:r>
    </w:p>
    <w:tbl>
      <w:tblPr>
        <w:tblStyle w:val="Table1"/>
        <w:tblW w:w="9030.0" w:type="dxa"/>
        <w:jc w:val="left"/>
        <w:tblInd w:w="131.0" w:type="dxa"/>
        <w:tblLayout w:type="fixed"/>
        <w:tblLook w:val="0000"/>
      </w:tblPr>
      <w:tblGrid>
        <w:gridCol w:w="6764"/>
        <w:gridCol w:w="2266"/>
        <w:tblGridChange w:id="0">
          <w:tblGrid>
            <w:gridCol w:w="6764"/>
            <w:gridCol w:w="2266"/>
          </w:tblGrid>
        </w:tblGridChange>
      </w:tblGrid>
      <w:tr>
        <w:trPr>
          <w:cantSplit w:val="0"/>
          <w:trHeight w:val="1200" w:hRule="atLeast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="340" w:lineRule="auto"/>
              <w:ind w:left="0" w:right="567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bookmarkStart w:colFirst="0" w:colLast="0" w:name="_heading=h.b7ixhhvdct0t" w:id="2"/>
            <w:bookmarkEnd w:id="2"/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Inteligentní dopravní systémy –</w:t>
            </w: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Dopravní a cestovní informace (TTI) v dopravním protokolu expertní skupiny, druhá generace (TPEG2)</w:t>
            </w: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 -</w:t>
            </w: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 Část 23: Aplikace pro informace o multimodálních trasách (TPEG2-RMR)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</w:tcPr>
          <w:p w:rsidR="00000000" w:rsidDel="00000000" w:rsidP="00000000" w:rsidRDefault="00000000" w:rsidRPr="00000000" w14:paraId="0000000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80" w:lineRule="auto"/>
              <w:ind w:left="1" w:hanging="3"/>
              <w:jc w:val="right"/>
              <w:rPr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sz w:val="32"/>
                <w:szCs w:val="32"/>
                <w:rtl w:val="0"/>
              </w:rPr>
              <w:t xml:space="preserve">ISO/TS 21219-</w:t>
            </w:r>
            <w:r w:rsidDel="00000000" w:rsidR="00000000" w:rsidRPr="00000000">
              <w:rPr>
                <w:b w:val="1"/>
                <w:sz w:val="32"/>
                <w:szCs w:val="32"/>
                <w:rtl w:val="0"/>
              </w:rPr>
              <w:t xml:space="preserve">23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Rule="auto"/>
              <w:ind w:left="0" w:hanging="2"/>
              <w:jc w:val="right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Rule="auto"/>
              <w:ind w:left="1" w:hanging="3"/>
              <w:jc w:val="right"/>
              <w:rPr>
                <w:color w:val="000000"/>
              </w:rPr>
            </w:pP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/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0" w:before="240" w:lineRule="auto"/>
        <w:ind w:left="1" w:hanging="3"/>
        <w:jc w:val="right"/>
        <w:rPr>
          <w:color w:val="000000"/>
        </w:rPr>
      </w:pPr>
      <w:bookmarkStart w:colFirst="0" w:colLast="0" w:name="_heading=h.1fob9te" w:id="3"/>
      <w:bookmarkEnd w:id="3"/>
      <w:r w:rsidDel="00000000" w:rsidR="00000000" w:rsidRPr="00000000">
        <w:rPr>
          <w:color w:val="000000"/>
          <w:sz w:val="28"/>
          <w:szCs w:val="28"/>
          <w:rtl w:val="0"/>
        </w:rPr>
        <w:t xml:space="preserve">Vydána 20</w:t>
      </w:r>
      <w:r w:rsidDel="00000000" w:rsidR="00000000" w:rsidRPr="00000000">
        <w:rPr>
          <w:sz w:val="28"/>
          <w:szCs w:val="28"/>
          <w:rtl w:val="0"/>
        </w:rPr>
        <w:t xml:space="preserve">16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, 43 stran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1"/>
        <w:ind w:left="0" w:hanging="2"/>
        <w:rPr/>
      </w:pPr>
      <w:bookmarkStart w:colFirst="0" w:colLast="0" w:name="_heading=h.k2jf97lkp7ge" w:id="4"/>
      <w:bookmarkEnd w:id="4"/>
      <w:r w:rsidDel="00000000" w:rsidR="00000000" w:rsidRPr="00000000">
        <w:rPr>
          <w:rtl w:val="0"/>
        </w:rPr>
        <w:t xml:space="preserve">Úvod</w:t>
      </w:r>
    </w:p>
    <w:p w:rsidR="00000000" w:rsidDel="00000000" w:rsidP="00000000" w:rsidRDefault="00000000" w:rsidRPr="00000000" w14:paraId="00000009">
      <w:pPr>
        <w:ind w:left="0" w:hanging="2"/>
        <w:rPr/>
      </w:pPr>
      <w:r w:rsidDel="00000000" w:rsidR="00000000" w:rsidRPr="00000000">
        <w:rPr>
          <w:rtl w:val="0"/>
        </w:rPr>
        <w:t xml:space="preserve">Technická specifikace ISO 21219 stanovuje formát a protokol TPEG určený pro poskytování informací o dopravě koncovým uživatelům. TPEG je určen pro média s vysokou přenosovou kapacitou, umožňuje informace členit strukturovaně se zvyšující se mírou detailů a komplexně popisovat polohu. </w:t>
      </w:r>
    </w:p>
    <w:p w:rsidR="00000000" w:rsidDel="00000000" w:rsidP="00000000" w:rsidRDefault="00000000" w:rsidRPr="00000000" w14:paraId="0000000A">
      <w:pPr>
        <w:ind w:left="0" w:hanging="2"/>
        <w:rPr/>
      </w:pPr>
      <w:r w:rsidDel="00000000" w:rsidR="00000000" w:rsidRPr="00000000">
        <w:rPr>
          <w:rtl w:val="0"/>
        </w:rPr>
        <w:t xml:space="preserve">Jednotlivé oblasti dopravních událostí jsou v TPEG popsány odděleně, pomocí platformě nezávislého modelu (UML) a dvou odvozených platformě závislých modelů (binární a XML). Části specifikace stanovují pravidla tvorby modelu a jeho převodu do platformě závislé podoby. </w:t>
      </w:r>
    </w:p>
    <w:p w:rsidR="00000000" w:rsidDel="00000000" w:rsidP="00000000" w:rsidRDefault="00000000" w:rsidRPr="00000000" w14:paraId="0000000B">
      <w:pPr>
        <w:ind w:left="0" w:hanging="2"/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Více informací o kontextu TPEG je obsaženo v úvodu extraktu k části 1 normy TPEG (21219-1).</w:t>
      </w:r>
    </w:p>
    <w:p w:rsidR="00000000" w:rsidDel="00000000" w:rsidP="00000000" w:rsidRDefault="00000000" w:rsidRPr="00000000" w14:paraId="0000000C">
      <w:pPr>
        <w:ind w:left="0" w:hanging="2"/>
        <w:rPr/>
      </w:pPr>
      <w:r w:rsidDel="00000000" w:rsidR="00000000" w:rsidRPr="00000000">
        <w:rPr>
          <w:rtl w:val="0"/>
        </w:rPr>
        <w:t xml:space="preserve">Technická specifikace ISO 21219 se zabývá druhou generací protokolu TPEG, označovaným zkratkou TPEG2. Rozlišení TPEG/TPEG1/TPEG2 se většinou uvádí pouze v úvodní části norem/specifikací, zatímco ostatní kapitoly již mezi TPEG a TPEG2 nerozlišují – to je implicitní dle kontextu. </w:t>
      </w:r>
    </w:p>
    <w:p w:rsidR="00000000" w:rsidDel="00000000" w:rsidP="00000000" w:rsidRDefault="00000000" w:rsidRPr="00000000" w14:paraId="0000000D">
      <w:pPr>
        <w:ind w:left="0" w:hanging="2"/>
        <w:rPr/>
      </w:pPr>
      <w:r w:rsidDel="00000000" w:rsidR="00000000" w:rsidRPr="00000000">
        <w:rPr>
          <w:rtl w:val="0"/>
        </w:rPr>
        <w:t xml:space="preserve">Tento extrakt (dále jen “popisovaný dokument”) popisuje část 23 normy TPEG „Aplikace pro informace o multimodálních trasách (TPEG2-RMR)”, která specifikuje 3 struktury pro popis multimodální trasy a strukturu pro požadavek na vygenerování tras(y).</w:t>
      </w:r>
    </w:p>
    <w:p w:rsidR="00000000" w:rsidDel="00000000" w:rsidP="00000000" w:rsidRDefault="00000000" w:rsidRPr="00000000" w14:paraId="00000009">
      <w:pPr>
        <w:ind w:left="0" w:hanging="2"/>
        <w:rPr/>
      </w:pPr>
      <w:r>
        <w:rPr>
          <w:rtl w:val="0"/>
        </w:rPr>
        <w:t xml:space="preserve">Poznámka: Extrakt uvádí vybrané kapitoly popisovaného dokumentu a přejímá původní číslování kapitol.</w:t>
      </w:r>
    </w:p>
    <w:p w:rsidR="00000000" w:rsidDel="00000000" w:rsidP="00000000" w:rsidRDefault="00000000" w:rsidRPr="00000000" w14:paraId="0000000F">
      <w:pPr>
        <w:pStyle w:val="Heading1"/>
        <w:ind w:left="0" w:hanging="2"/>
        <w:rPr/>
      </w:pPr>
      <w:bookmarkStart w:colFirst="0" w:colLast="0" w:name="_heading=h.p5uplw5j229a" w:id="6"/>
      <w:bookmarkEnd w:id="6"/>
      <w:r w:rsidDel="00000000" w:rsidR="00000000" w:rsidRPr="00000000">
        <w:rPr>
          <w:rtl w:val="0"/>
        </w:rPr>
        <w:t xml:space="preserve">Užití</w:t>
      </w:r>
    </w:p>
    <w:p w:rsidR="00000000" w:rsidDel="00000000" w:rsidP="00000000" w:rsidRDefault="00000000" w:rsidRPr="00000000" w14:paraId="00000010">
      <w:pPr>
        <w:ind w:left="0" w:hanging="2"/>
        <w:rPr/>
      </w:pPr>
      <w:bookmarkStart w:colFirst="0" w:colLast="0" w:name="_heading=h.2et92p0" w:id="7"/>
      <w:bookmarkEnd w:id="7"/>
      <w:r w:rsidDel="00000000" w:rsidR="00000000" w:rsidRPr="00000000">
        <w:rPr>
          <w:rtl w:val="0"/>
        </w:rPr>
        <w:t xml:space="preserve">Popisovaný dokument stanovuje způsob poskytování informací o multimodální trase. Počítá s vysíláním tras bez upřesnění požadavku ze strany uživatele (broadcast) i s upřesněním požadavku uživatelem v rámci relace mezi terminálem uživatele a serverem služby RMR. Tato aplikace specifikuje, jak by měla relace mezi serverem a terminálem vypadat a jak by měly být strukturované požadavek a odpověď. Je nezbytný pro analytiky provozovatele multimodálního vyhledávače a pro analytiky výrobce uživatelského terminálu (aplikace), kteří mají na starost návrh datového modelu systému a návrh pravidel, se kterými systém pracuje. Použije se při návrhu systému. </w:t>
      </w:r>
    </w:p>
    <w:p w:rsidR="00000000" w:rsidDel="00000000" w:rsidP="00000000" w:rsidRDefault="00000000" w:rsidRPr="00000000" w14:paraId="00000013">
      <w:pPr>
        <w:pStyle w:val="Heading1"/>
        <w:ind w:left="0" w:hanging="2"/>
        <w:rPr/>
      </w:pPr>
      <w:bookmarkStart w:colFirst="0" w:colLast="0" w:name="_heading=h.exlj16mcv1lp" w:id="10"/>
      <w:bookmarkEnd w:id="10"/>
      <w:r w:rsidDel="00000000" w:rsidR="00000000" w:rsidRPr="00000000">
        <w:rPr>
          <w:rtl w:val="0"/>
        </w:rPr>
        <w:t xml:space="preserve">1 Předmět normy</w:t>
      </w:r>
    </w:p>
    <w:p w:rsidR="00000000" w:rsidDel="00000000" w:rsidP="00000000" w:rsidRDefault="00000000" w:rsidRPr="00000000" w14:paraId="0000001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Popisovaný dokument definuje aplikaci TPEG </w:t>
      </w:r>
      <w:r w:rsidDel="00000000" w:rsidR="00000000" w:rsidRPr="00000000">
        <w:rPr>
          <w:rtl w:val="0"/>
        </w:rPr>
        <w:t xml:space="preserve">RMR</w:t>
      </w:r>
      <w:r w:rsidDel="00000000" w:rsidR="00000000" w:rsidRPr="00000000">
        <w:rPr>
          <w:color w:val="000000"/>
          <w:rtl w:val="0"/>
        </w:rPr>
        <w:t xml:space="preserve"> „</w:t>
      </w:r>
      <w:r w:rsidDel="00000000" w:rsidR="00000000" w:rsidRPr="00000000">
        <w:rPr>
          <w:rtl w:val="0"/>
        </w:rPr>
        <w:t xml:space="preserve">Aplikace pro informace o multimodálních trasách</w:t>
      </w:r>
      <w:r w:rsidDel="00000000" w:rsidR="00000000" w:rsidRPr="00000000">
        <w:rPr>
          <w:color w:val="000000"/>
          <w:rtl w:val="0"/>
        </w:rPr>
        <w:t xml:space="preserve">“.</w:t>
      </w:r>
      <w:r w:rsidDel="00000000" w:rsidR="00000000" w:rsidRPr="00000000">
        <w:rPr>
          <w:rtl w:val="0"/>
        </w:rPr>
        <w:t xml:space="preserve"> Ta</w:t>
      </w:r>
      <w:r w:rsidDel="00000000" w:rsidR="00000000" w:rsidRPr="00000000">
        <w:rPr>
          <w:color w:val="000000"/>
          <w:rtl w:val="0"/>
        </w:rPr>
        <w:t xml:space="preserve"> umožňuje poskytování služeb multimodálního navádění na trasu zahrnující více dopravních prostředků a módů dopravy, včetně parkování. Jedná se například o popis optimální multimodální trasy autem na nádraží s parkovištěm, poté vlakové spojení do přestupní stanice a spoj místní veřejné dopravy do cílového místa cestujícího. </w:t>
      </w:r>
      <w:r w:rsidDel="00000000" w:rsidR="00000000" w:rsidRPr="00000000">
        <w:rPr>
          <w:rtl w:val="0"/>
        </w:rPr>
        <w:t xml:space="preserve">Tato aplikace umožňuje využití P2P spojení uživatel- server, kdy se udržuje relace mezi vyhledávačem a aplikací (terminálem) uživatele.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1"/>
        <w:ind w:left="0" w:hanging="2"/>
        <w:rPr/>
      </w:pPr>
      <w:bookmarkStart w:colFirst="0" w:colLast="0" w:name="_heading=h.8kdf5wup1at0" w:id="8"/>
      <w:bookmarkEnd w:id="8"/>
      <w:r w:rsidDel="00000000" w:rsidR="00000000" w:rsidRPr="00000000">
        <w:rPr>
          <w:rtl w:val="0"/>
        </w:rPr>
        <w:t xml:space="preserve">2 Souvisící normy</w:t>
      </w:r>
    </w:p>
    <w:p w:rsidR="00000000" w:rsidDel="00000000" w:rsidP="00000000" w:rsidRDefault="00000000" w:rsidRPr="00000000" w14:paraId="00000012">
      <w:pPr>
        <w:ind w:left="0" w:hanging="2"/>
        <w:rPr/>
      </w:pPr>
      <w:bookmarkStart w:colFirst="0" w:colLast="0" w:name="_heading=h.2s8eyo1" w:id="9"/>
      <w:bookmarkEnd w:id="9"/>
      <w:r w:rsidDel="00000000" w:rsidR="00000000" w:rsidRPr="00000000">
        <w:rPr>
          <w:rtl w:val="0"/>
        </w:rPr>
        <w:t xml:space="preserve">Popisovaný dokument uvádí 10 normativních odkazů na normu TPEG2 ISO 21219 části 1-6,14; TPEG1 ISO 18234-3,11 a specifikaci TISA SP10022. Klíčové normy jsou: kontejner odkazování na polohu (18234-11, TPEG1-LRC) a informace o parkování (21219-14, TPEG2-PKI). Pro sestavení zpráv z kontejnerů, odvození z modelu UML, vysílání zpráv a řízení datového toku jsou použity další části normy TPEG2 (1-6) a TPEG1 3. </w:t>
      </w:r>
    </w:p>
    <w:p w:rsidR="00000000" w:rsidDel="00000000" w:rsidP="00000000" w:rsidRDefault="00000000" w:rsidRPr="00000000" w14:paraId="00000015">
      <w:pPr>
        <w:pStyle w:val="Heading1"/>
        <w:ind w:left="0" w:hanging="2"/>
        <w:rPr/>
      </w:pPr>
      <w:bookmarkStart w:colFirst="0" w:colLast="0" w:name="_heading=h.rwk302au4u2u" w:id="11"/>
      <w:bookmarkEnd w:id="11"/>
      <w:r w:rsidDel="00000000" w:rsidR="00000000" w:rsidRPr="00000000">
        <w:rPr>
          <w:rtl w:val="0"/>
        </w:rPr>
        <w:t xml:space="preserve">3 Termíny a definice</w:t>
      </w:r>
    </w:p>
    <w:p w:rsidR="00000000" w:rsidDel="00000000" w:rsidP="00000000" w:rsidRDefault="00000000" w:rsidRPr="00000000" w14:paraId="000000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bookmarkStart w:colFirst="0" w:colLast="0" w:name="_heading=h.tyjcwt" w:id="12"/>
      <w:bookmarkEnd w:id="12"/>
      <w:r w:rsidDel="00000000" w:rsidR="00000000" w:rsidRPr="00000000">
        <w:rPr>
          <w:color w:val="000000"/>
          <w:rtl w:val="0"/>
        </w:rPr>
        <w:t xml:space="preserve">Tato kapitola definuje 3 termíny. </w:t>
      </w:r>
    </w:p>
    <w:p w:rsidR="00000000" w:rsidDel="00000000" w:rsidP="00000000" w:rsidRDefault="00000000" w:rsidRPr="00000000" w14:paraId="000000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/>
      </w:pPr>
      <w:bookmarkStart w:colFirst="0" w:colLast="0" w:name="_heading=h.3dy6vkm" w:id="13"/>
      <w:bookmarkEnd w:id="13"/>
      <w:r w:rsidDel="00000000" w:rsidR="00000000" w:rsidRPr="00000000">
        <w:rPr>
          <w:b w:val="1"/>
          <w:rtl w:val="0"/>
        </w:rPr>
        <w:t xml:space="preserve">kontejner pro management zprávy; MMC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rtl w:val="0"/>
        </w:rPr>
        <w:t xml:space="preserve">(message management container) </w:t>
      </w:r>
      <w:r w:rsidDel="00000000" w:rsidR="00000000" w:rsidRPr="00000000">
        <w:rPr>
          <w:rtl w:val="0"/>
        </w:rPr>
        <w:t xml:space="preserve">část zprávy obsahující informace pro sestavení zprávy z dalších “aplikačního” a “polohového” kontejneru či pro řízení zprávy (například její zrušení).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/>
      </w:pPr>
      <w:bookmarkStart w:colFirst="0" w:colLast="0" w:name="_heading=h.65y1mt6m073l" w:id="14"/>
      <w:bookmarkEnd w:id="14"/>
      <w:r w:rsidDel="00000000" w:rsidR="00000000" w:rsidRPr="00000000">
        <w:rPr>
          <w:b w:val="1"/>
          <w:rtl w:val="0"/>
        </w:rPr>
        <w:t xml:space="preserve">kontejner pro odkazování na polohu; LRC </w:t>
      </w:r>
      <w:r w:rsidDel="00000000" w:rsidR="00000000" w:rsidRPr="00000000">
        <w:rPr>
          <w:i w:val="1"/>
          <w:rtl w:val="0"/>
        </w:rPr>
        <w:t xml:space="preserve">(location referencing container)  </w:t>
      </w:r>
      <w:r w:rsidDel="00000000" w:rsidR="00000000" w:rsidRPr="00000000">
        <w:rPr>
          <w:rtl w:val="0"/>
        </w:rPr>
        <w:t xml:space="preserve">část zprávy obsahující  informace o poloze odkazované dopravní informace či odkazovaného stav</w:t>
      </w:r>
      <w:r w:rsidDel="00000000" w:rsidR="00000000" w:rsidRPr="00000000">
        <w:rPr>
          <w:rtl w:val="0"/>
        </w:rPr>
        <w:t xml:space="preserve">u dopravní situace.</w:t>
      </w:r>
    </w:p>
    <w:p w:rsidR="00000000" w:rsidDel="00000000" w:rsidP="00000000" w:rsidRDefault="00000000" w:rsidRPr="00000000" w14:paraId="000000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bookmarkStart w:colFirst="0" w:colLast="0" w:name="_heading=h.713qvuvjb6b4" w:id="15"/>
      <w:bookmarkEnd w:id="15"/>
      <w:r w:rsidDel="00000000" w:rsidR="00000000" w:rsidRPr="00000000">
        <w:rPr>
          <w:b w:val="1"/>
          <w:color w:val="000000"/>
          <w:rtl w:val="0"/>
        </w:rPr>
        <w:t xml:space="preserve">odkazování na polohu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i w:val="1"/>
          <w:color w:val="000000"/>
          <w:rtl w:val="0"/>
        </w:rPr>
        <w:t xml:space="preserve">(Location Referencing)</w:t>
      </w:r>
      <w:r w:rsidDel="00000000" w:rsidR="00000000" w:rsidRPr="00000000">
        <w:rPr>
          <w:color w:val="000000"/>
          <w:rtl w:val="0"/>
        </w:rPr>
        <w:t xml:space="preserve"> – prostředky umožňující systému přesně identifikovat polohu</w:t>
      </w:r>
    </w:p>
    <w:p w:rsidR="00000000" w:rsidDel="00000000" w:rsidP="00000000" w:rsidRDefault="00000000" w:rsidRPr="00000000" w14:paraId="00000009">
      <w:pPr>
        <w:ind w:left="0" w:hanging="2"/>
        <w:rPr/>
      </w:pPr>
      <w:r>
        <w:rPr>
          <w:rtl w:val="0"/>
        </w:rPr>
        <w:t xml:space="preserve">Další termíny a zkratky z oboru ITS jsou obsaženy ve slovníku ITS terminology.</w:t>
      </w:r>
    </w:p>
    <w:p w:rsidR="00000000" w:rsidDel="00000000" w:rsidP="00000000" w:rsidRDefault="00000000" w:rsidRPr="00000000" w14:paraId="0000001A">
      <w:pPr>
        <w:pStyle w:val="Heading1"/>
        <w:ind w:left="0" w:hanging="2"/>
        <w:rPr/>
      </w:pPr>
      <w:bookmarkStart w:colFirst="0" w:colLast="0" w:name="_heading=h.k2373fclpmbw" w:id="16"/>
      <w:bookmarkEnd w:id="16"/>
      <w:r w:rsidDel="00000000" w:rsidR="00000000" w:rsidRPr="00000000">
        <w:rPr>
          <w:rtl w:val="0"/>
        </w:rPr>
        <w:t xml:space="preserve">4 Symboly a zkratky</w:t>
      </w:r>
    </w:p>
    <w:p w:rsidR="00000000" w:rsidDel="00000000" w:rsidP="00000000" w:rsidRDefault="00000000" w:rsidRPr="00000000" w14:paraId="000000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stanovuje 17 zkratek, důležité z pohledu tohoto extraktu jsou: </w:t>
      </w:r>
    </w:p>
    <w:p w:rsidR="00000000" w:rsidDel="00000000" w:rsidP="00000000" w:rsidRDefault="00000000" w:rsidRPr="00000000" w14:paraId="000000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b w:val="1"/>
          <w:color w:val="000000"/>
          <w:rtl w:val="0"/>
        </w:rPr>
        <w:t xml:space="preserve">MMC</w:t>
      </w:r>
      <w:r w:rsidDel="00000000" w:rsidR="00000000" w:rsidRPr="00000000">
        <w:rPr>
          <w:color w:val="000000"/>
          <w:rtl w:val="0"/>
        </w:rPr>
        <w:tab/>
        <w:t xml:space="preserve">kontejner pro management zpráv </w:t>
      </w:r>
      <w:r w:rsidDel="00000000" w:rsidR="00000000" w:rsidRPr="00000000">
        <w:rPr>
          <w:i w:val="1"/>
          <w:color w:val="000000"/>
          <w:rtl w:val="0"/>
        </w:rPr>
        <w:t xml:space="preserve">(Message Management Container)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i w:val="1"/>
          <w:color w:val="000000"/>
        </w:rPr>
      </w:pPr>
      <w:r w:rsidDel="00000000" w:rsidR="00000000" w:rsidRPr="00000000">
        <w:rPr>
          <w:b w:val="1"/>
          <w:color w:val="000000"/>
          <w:rtl w:val="0"/>
        </w:rPr>
        <w:t xml:space="preserve">ADC</w:t>
        <w:tab/>
      </w:r>
      <w:r w:rsidDel="00000000" w:rsidR="00000000" w:rsidRPr="00000000">
        <w:rPr>
          <w:color w:val="000000"/>
          <w:rtl w:val="0"/>
        </w:rPr>
        <w:t xml:space="preserve">kontejner pro popis aplikace </w:t>
      </w:r>
      <w:r w:rsidDel="00000000" w:rsidR="00000000" w:rsidRPr="00000000">
        <w:rPr>
          <w:i w:val="1"/>
          <w:color w:val="000000"/>
          <w:rtl w:val="0"/>
        </w:rPr>
        <w:t xml:space="preserve">(Application Data Container) </w:t>
      </w:r>
    </w:p>
    <w:p w:rsidR="00000000" w:rsidDel="00000000" w:rsidP="00000000" w:rsidRDefault="00000000" w:rsidRPr="00000000" w14:paraId="0000001E">
      <w:pPr>
        <w:ind w:left="0" w:hanging="2"/>
        <w:rPr>
          <w:i w:val="1"/>
        </w:rPr>
      </w:pPr>
      <w:r w:rsidDel="00000000" w:rsidR="00000000" w:rsidRPr="00000000">
        <w:rPr>
          <w:b w:val="1"/>
          <w:rtl w:val="0"/>
        </w:rPr>
        <w:t xml:space="preserve">LRC</w:t>
        <w:tab/>
      </w:r>
      <w:r w:rsidDel="00000000" w:rsidR="00000000" w:rsidRPr="00000000">
        <w:rPr>
          <w:rtl w:val="0"/>
        </w:rPr>
        <w:t xml:space="preserve">kontejner pro odkazování na polohu </w:t>
      </w:r>
      <w:r w:rsidDel="00000000" w:rsidR="00000000" w:rsidRPr="00000000">
        <w:rPr>
          <w:i w:val="1"/>
          <w:rtl w:val="0"/>
        </w:rPr>
        <w:t xml:space="preserve">(Location Referencing Container)</w:t>
      </w:r>
    </w:p>
    <w:p w:rsidR="00000000" w:rsidDel="00000000" w:rsidP="00000000" w:rsidRDefault="00000000" w:rsidRPr="00000000" w14:paraId="000000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i w:val="1"/>
          <w:color w:val="000000"/>
        </w:rPr>
      </w:pPr>
      <w:r w:rsidDel="00000000" w:rsidR="00000000" w:rsidRPr="00000000">
        <w:rPr>
          <w:b w:val="1"/>
          <w:rtl w:val="0"/>
        </w:rPr>
        <w:t xml:space="preserve">MMR</w:t>
      </w:r>
      <w:r w:rsidDel="00000000" w:rsidR="00000000" w:rsidRPr="00000000">
        <w:rPr>
          <w:b w:val="1"/>
          <w:color w:val="000000"/>
          <w:rtl w:val="0"/>
        </w:rPr>
        <w:tab/>
      </w:r>
      <w:r w:rsidDel="00000000" w:rsidR="00000000" w:rsidRPr="00000000">
        <w:rPr>
          <w:rtl w:val="0"/>
        </w:rPr>
        <w:t xml:space="preserve">multimodální trasa</w:t>
      </w:r>
      <w:r w:rsidDel="00000000" w:rsidR="00000000" w:rsidRPr="00000000">
        <w:rPr>
          <w:i w:val="1"/>
          <w:rtl w:val="0"/>
        </w:rPr>
        <w:t xml:space="preserve"> (Multimodal Route)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i w:val="1"/>
          <w:color w:val="000000"/>
        </w:rPr>
      </w:pPr>
      <w:r w:rsidDel="00000000" w:rsidR="00000000" w:rsidRPr="00000000">
        <w:rPr>
          <w:b w:val="1"/>
          <w:rtl w:val="0"/>
        </w:rPr>
        <w:t xml:space="preserve">RMR</w:t>
      </w:r>
      <w:r w:rsidDel="00000000" w:rsidR="00000000" w:rsidRPr="00000000">
        <w:rPr>
          <w:b w:val="1"/>
          <w:color w:val="000000"/>
          <w:rtl w:val="0"/>
        </w:rPr>
        <w:tab/>
      </w:r>
      <w:r w:rsidDel="00000000" w:rsidR="00000000" w:rsidRPr="00000000">
        <w:rPr>
          <w:rtl w:val="0"/>
        </w:rPr>
        <w:t xml:space="preserve">aplikace pro informace o multimodálních trasách </w:t>
      </w:r>
      <w:r w:rsidDel="00000000" w:rsidR="00000000" w:rsidRPr="00000000">
        <w:rPr>
          <w:i w:val="1"/>
          <w:rtl w:val="0"/>
        </w:rPr>
        <w:t xml:space="preserve">(Road and Multimodal Routes application)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i w:val="1"/>
        </w:rPr>
      </w:pPr>
      <w:r w:rsidDel="00000000" w:rsidR="00000000" w:rsidRPr="00000000">
        <w:rPr>
          <w:b w:val="1"/>
          <w:rtl w:val="0"/>
        </w:rPr>
        <w:t xml:space="preserve">PKI</w:t>
      </w:r>
      <w:r w:rsidDel="00000000" w:rsidR="00000000" w:rsidRPr="00000000">
        <w:rPr>
          <w:i w:val="1"/>
          <w:color w:val="000000"/>
          <w:rtl w:val="0"/>
        </w:rPr>
        <w:tab/>
      </w:r>
      <w:r w:rsidDel="00000000" w:rsidR="00000000" w:rsidRPr="00000000">
        <w:rPr>
          <w:rtl w:val="0"/>
        </w:rPr>
        <w:t xml:space="preserve">aplikace pro informace o parkování</w:t>
      </w:r>
      <w:r w:rsidDel="00000000" w:rsidR="00000000" w:rsidRPr="00000000">
        <w:rPr>
          <w:i w:val="1"/>
          <w:rtl w:val="0"/>
        </w:rPr>
        <w:t xml:space="preserve"> (Parking Information application)</w:t>
      </w:r>
    </w:p>
    <w:p w:rsidR="00000000" w:rsidDel="00000000" w:rsidP="00000000" w:rsidRDefault="00000000" w:rsidRPr="00000000" w14:paraId="00000022">
      <w:pPr>
        <w:ind w:left="0" w:hanging="2"/>
        <w:rPr>
          <w:i w:val="1"/>
        </w:rPr>
      </w:pPr>
      <w:r w:rsidDel="00000000" w:rsidR="00000000" w:rsidRPr="00000000">
        <w:rPr>
          <w:b w:val="1"/>
          <w:rtl w:val="0"/>
        </w:rPr>
        <w:t xml:space="preserve">GLR</w:t>
      </w:r>
      <w:r w:rsidDel="00000000" w:rsidR="00000000" w:rsidRPr="00000000">
        <w:rPr>
          <w:rtl w:val="0"/>
        </w:rPr>
        <w:tab/>
        <w:t xml:space="preserve">geografické odkazování na polohu </w:t>
      </w:r>
      <w:r w:rsidDel="00000000" w:rsidR="00000000" w:rsidRPr="00000000">
        <w:rPr>
          <w:i w:val="1"/>
          <w:rtl w:val="0"/>
        </w:rPr>
        <w:t xml:space="preserve">(Geographic Location Reference)</w:t>
      </w:r>
    </w:p>
    <w:p w:rsidR="00000000" w:rsidDel="00000000" w:rsidP="00000000" w:rsidRDefault="00000000" w:rsidRPr="00000000" w14:paraId="00000023">
      <w:pPr>
        <w:ind w:firstLine="0"/>
        <w:rPr>
          <w:i w:val="1"/>
        </w:rPr>
      </w:pPr>
      <w:r w:rsidDel="00000000" w:rsidR="00000000" w:rsidRPr="00000000">
        <w:rPr>
          <w:b w:val="1"/>
          <w:rtl w:val="0"/>
        </w:rPr>
        <w:t xml:space="preserve">TPEG</w:t>
        <w:tab/>
      </w:r>
      <w:r w:rsidDel="00000000" w:rsidR="00000000" w:rsidRPr="00000000">
        <w:rPr>
          <w:rtl w:val="0"/>
        </w:rPr>
        <w:t xml:space="preserve">framework poskytující formáty a protokoly pro poskytování dopravních informací, optimalizovaných na šíření prostřednictvím digitálního rozhlasu či Internetu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0" w:hanging="2"/>
        <w:rPr/>
      </w:pPr>
      <w:r>
        <w:rPr>
          <w:rtl w:val="0"/>
        </w:rPr>
        <w:t xml:space="preserve">Další termíny a zkratky z oboru ITS jsou obsaženy ve slovníku ITS terminology (www.ITSterminology.org).</w:t>
      </w:r>
    </w:p>
    <w:p w:rsidR="00000000" w:rsidDel="00000000" w:rsidP="00000000" w:rsidRDefault="00000000" w:rsidRPr="00000000" w14:paraId="00000025">
      <w:pPr>
        <w:pStyle w:val="Heading1"/>
        <w:ind w:left="0" w:hanging="2"/>
        <w:rPr/>
      </w:pPr>
      <w:bookmarkStart w:colFirst="0" w:colLast="0" w:name="_heading=h.qfqfpgofc94p" w:id="17"/>
      <w:bookmarkEnd w:id="17"/>
      <w:r w:rsidDel="00000000" w:rsidR="00000000" w:rsidRPr="00000000">
        <w:rPr>
          <w:rtl w:val="0"/>
        </w:rPr>
        <w:t xml:space="preserve">5 Podmínky a omezení aplikace</w:t>
      </w:r>
    </w:p>
    <w:p w:rsidR="00000000" w:rsidDel="00000000" w:rsidP="00000000" w:rsidRDefault="00000000" w:rsidRPr="00000000" w14:paraId="0000002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bookmarkStart w:colFirst="0" w:colLast="0" w:name="_heading=h.1t3h5sf" w:id="18"/>
      <w:bookmarkEnd w:id="18"/>
      <w:r w:rsidDel="00000000" w:rsidR="00000000" w:rsidRPr="00000000">
        <w:rPr>
          <w:color w:val="000000"/>
          <w:rtl w:val="0"/>
        </w:rPr>
        <w:t xml:space="preserve">Tato kapitola (rozsah 1,5 strany) vymezuje: 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720" w:hanging="360"/>
        <w:jc w:val="left"/>
        <w:rPr>
          <w:color w:val="000000"/>
          <w:u w:val="none"/>
        </w:rPr>
      </w:pPr>
      <w:r w:rsidDel="00000000" w:rsidR="00000000" w:rsidRPr="00000000">
        <w:rPr>
          <w:b w:val="1"/>
          <w:color w:val="000000"/>
          <w:rtl w:val="0"/>
        </w:rPr>
        <w:t xml:space="preserve">Identifikátor aplikace</w:t>
      </w:r>
      <w:r w:rsidDel="00000000" w:rsidR="00000000" w:rsidRPr="00000000">
        <w:rPr>
          <w:color w:val="000000"/>
          <w:rtl w:val="0"/>
        </w:rPr>
        <w:t xml:space="preserve">, který je stanovený pro všechny aplikace v TS 21219-1.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720" w:hanging="360"/>
        <w:jc w:val="left"/>
        <w:rPr>
          <w:color w:val="000000"/>
          <w:u w:val="none"/>
        </w:rPr>
      </w:pPr>
      <w:r w:rsidDel="00000000" w:rsidR="00000000" w:rsidRPr="00000000">
        <w:rPr>
          <w:b w:val="1"/>
          <w:color w:val="000000"/>
          <w:rtl w:val="0"/>
        </w:rPr>
        <w:t xml:space="preserve">Verzi aplikace</w:t>
      </w:r>
      <w:r w:rsidDel="00000000" w:rsidR="00000000" w:rsidRPr="00000000">
        <w:rPr>
          <w:color w:val="000000"/>
          <w:rtl w:val="0"/>
        </w:rPr>
        <w:t xml:space="preserve">. Verze je klíčová z pohledu dekodéru, jednotlivé verze stejné aplikace se totiž mohou od sebe lišit strukturou, obsahem atp. 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720" w:hanging="360"/>
        <w:jc w:val="left"/>
        <w:rPr>
          <w:u w:val="none"/>
        </w:rPr>
      </w:pPr>
      <w:r w:rsidDel="00000000" w:rsidR="00000000" w:rsidRPr="00000000">
        <w:rPr>
          <w:b w:val="1"/>
          <w:color w:val="000000"/>
          <w:rtl w:val="0"/>
        </w:rPr>
        <w:t xml:space="preserve">Pořadí kontejnerů</w:t>
      </w:r>
      <w:r w:rsidDel="00000000" w:rsidR="00000000" w:rsidRPr="00000000">
        <w:rPr>
          <w:color w:val="000000"/>
          <w:rtl w:val="0"/>
        </w:rPr>
        <w:t xml:space="preserve">, ze kterých je zpráva složena. Zpráva se skládá z kontejneru pro management zpráv (MMC), </w:t>
      </w:r>
      <w:r w:rsidDel="00000000" w:rsidR="00000000" w:rsidRPr="00000000">
        <w:rPr>
          <w:color w:val="000000"/>
          <w:rtl w:val="0"/>
        </w:rPr>
        <w:t xml:space="preserve">kontejneru </w:t>
      </w:r>
      <w:r w:rsidDel="00000000" w:rsidR="00000000" w:rsidRPr="00000000">
        <w:rPr>
          <w:rtl w:val="0"/>
        </w:rPr>
        <w:t xml:space="preserve">pro popis </w:t>
      </w:r>
      <w:r w:rsidDel="00000000" w:rsidR="00000000" w:rsidRPr="00000000">
        <w:rPr>
          <w:color w:val="000000"/>
          <w:rtl w:val="0"/>
        </w:rPr>
        <w:t xml:space="preserve">aplikace</w:t>
      </w:r>
      <w:r w:rsidDel="00000000" w:rsidR="00000000" w:rsidRPr="00000000">
        <w:rPr>
          <w:color w:val="000000"/>
          <w:rtl w:val="0"/>
        </w:rPr>
        <w:t xml:space="preserve"> (ADC) a kontejneru pro odkazování na polohu (LRC). 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720" w:hanging="360"/>
        <w:jc w:val="left"/>
        <w:rPr>
          <w:u w:val="none"/>
        </w:rPr>
      </w:pPr>
      <w:r w:rsidDel="00000000" w:rsidR="00000000" w:rsidRPr="00000000">
        <w:rPr>
          <w:b w:val="1"/>
          <w:color w:val="000000"/>
          <w:rtl w:val="0"/>
        </w:rPr>
        <w:t xml:space="preserve">Rozšiřitelnost a zpětnou kompatibilitu</w:t>
      </w:r>
      <w:r w:rsidDel="00000000" w:rsidR="00000000" w:rsidRPr="00000000">
        <w:rPr>
          <w:color w:val="000000"/>
          <w:rtl w:val="0"/>
        </w:rPr>
        <w:t xml:space="preserve">, jako požadavek na přeskočení neznámých částí zprávy dekodérem a specifikaci v budoucnu rozšiřitelných částí struktur TPEG zprávy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720" w:hanging="360"/>
        <w:jc w:val="left"/>
        <w:rPr>
          <w:color w:val="000000"/>
          <w:u w:val="none"/>
        </w:rPr>
      </w:pPr>
      <w:r w:rsidDel="00000000" w:rsidR="00000000" w:rsidRPr="00000000">
        <w:rPr>
          <w:b w:val="1"/>
          <w:color w:val="000000"/>
          <w:rtl w:val="0"/>
        </w:rPr>
        <w:t xml:space="preserve">Rámec komponent služby TPEG</w:t>
      </w:r>
      <w:r w:rsidDel="00000000" w:rsidR="00000000" w:rsidRPr="00000000">
        <w:rPr>
          <w:color w:val="000000"/>
          <w:rtl w:val="0"/>
        </w:rPr>
        <w:t xml:space="preserve"> dle ISO/TS 21219-5.</w:t>
      </w:r>
    </w:p>
    <w:p w:rsidR="00000000" w:rsidDel="00000000" w:rsidP="00000000" w:rsidRDefault="00000000" w:rsidRPr="00000000" w14:paraId="0000002C">
      <w:pPr>
        <w:pStyle w:val="Heading1"/>
        <w:ind w:left="0" w:hanging="2"/>
        <w:rPr/>
      </w:pPr>
      <w:bookmarkStart w:colFirst="0" w:colLast="0" w:name="_heading=h.70y3xb1dvgqi" w:id="19"/>
      <w:bookmarkEnd w:id="19"/>
      <w:r w:rsidDel="00000000" w:rsidR="00000000" w:rsidRPr="00000000">
        <w:rPr>
          <w:rtl w:val="0"/>
        </w:rPr>
        <w:t xml:space="preserve">6 Struktura RMR</w:t>
      </w:r>
    </w:p>
    <w:p w:rsidR="00000000" w:rsidDel="00000000" w:rsidP="00000000" w:rsidRDefault="00000000" w:rsidRPr="00000000" w14:paraId="0000002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(rozsah 6 stran, </w:t>
      </w:r>
      <w:r w:rsidDel="00000000" w:rsidR="00000000" w:rsidRPr="00000000">
        <w:rPr>
          <w:rtl w:val="0"/>
        </w:rPr>
        <w:t xml:space="preserve">4</w:t>
      </w:r>
      <w:r w:rsidDel="00000000" w:rsidR="00000000" w:rsidRPr="00000000">
        <w:rPr>
          <w:color w:val="000000"/>
          <w:rtl w:val="0"/>
        </w:rPr>
        <w:t xml:space="preserve"> obrázk</w:t>
      </w:r>
      <w:r w:rsidDel="00000000" w:rsidR="00000000" w:rsidRPr="00000000">
        <w:rPr>
          <w:rtl w:val="0"/>
        </w:rPr>
        <w:t xml:space="preserve">y</w:t>
      </w:r>
      <w:r w:rsidDel="00000000" w:rsidR="00000000" w:rsidRPr="00000000">
        <w:rPr>
          <w:color w:val="000000"/>
          <w:rtl w:val="0"/>
        </w:rPr>
        <w:t xml:space="preserve">, viz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color w:val="000000"/>
          <w:rtl w:val="0"/>
        </w:rPr>
        <w:t xml:space="preserve">brázek 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color w:val="000000"/>
          <w:rtl w:val="0"/>
        </w:rPr>
        <w:t xml:space="preserve">) obsahuje UML model 2 zpráv aplikace </w:t>
      </w:r>
      <w:r w:rsidDel="00000000" w:rsidR="00000000" w:rsidRPr="00000000">
        <w:rPr>
          <w:rtl w:val="0"/>
        </w:rPr>
        <w:t xml:space="preserve">RMR, zprávy z požadavkem na sestavení trasy cesty a zprávy se sestavenou trasou multimodální cesty.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bookmarkStart w:colFirst="0" w:colLast="0" w:name="_heading=h.4d34og8" w:id="20"/>
      <w:bookmarkEnd w:id="20"/>
      <w:r w:rsidDel="00000000" w:rsidR="00000000" w:rsidRPr="00000000">
        <w:rPr/>
        <w:drawing>
          <wp:inline distB="114300" distT="114300" distL="114300" distR="114300">
            <wp:extent cx="5760410" cy="4495800"/>
            <wp:effectExtent b="0" l="0" r="0" t="0"/>
            <wp:docPr id="104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449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Rule="auto"/>
        <w:ind w:left="0" w:hanging="2"/>
        <w:jc w:val="center"/>
        <w:rPr>
          <w:color w:val="000000"/>
          <w:sz w:val="18"/>
          <w:szCs w:val="18"/>
        </w:rPr>
      </w:pPr>
      <w:r w:rsidDel="00000000" w:rsidR="00000000" w:rsidRPr="00000000">
        <w:rPr>
          <w:color w:val="000000"/>
          <w:sz w:val="18"/>
          <w:szCs w:val="18"/>
          <w:rtl w:val="0"/>
        </w:rPr>
        <w:t xml:space="preserve">Obrázek 1 - UML model tříd aplikace </w:t>
      </w:r>
      <w:r w:rsidDel="00000000" w:rsidR="00000000" w:rsidRPr="00000000">
        <w:rPr>
          <w:sz w:val="18"/>
          <w:szCs w:val="18"/>
          <w:rtl w:val="0"/>
        </w:rPr>
        <w:t xml:space="preserve">RMR </w:t>
      </w:r>
      <w:r w:rsidDel="00000000" w:rsidR="00000000" w:rsidRPr="00000000">
        <w:rPr>
          <w:color w:val="000000"/>
          <w:sz w:val="18"/>
          <w:szCs w:val="18"/>
          <w:rtl w:val="0"/>
        </w:rPr>
        <w:t xml:space="preserve">(obrázek 2 normy)</w:t>
      </w:r>
    </w:p>
    <w:p w:rsidR="00000000" w:rsidDel="00000000" w:rsidP="00000000" w:rsidRDefault="00000000" w:rsidRPr="00000000" w14:paraId="0000003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Rule="auto"/>
        <w:ind w:left="0" w:hanging="2"/>
        <w:jc w:val="left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Sestavené trasy cest mohou obsahovat různou kombinaci dopravních módů (viz následujcí obrázek). O smysluplné kombinaci dopravních módů rozhoduje Služba RMR.</w:t>
      </w:r>
    </w:p>
    <w:p w:rsidR="00000000" w:rsidDel="00000000" w:rsidP="00000000" w:rsidRDefault="00000000" w:rsidRPr="00000000" w14:paraId="0000003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Rule="auto"/>
        <w:ind w:left="0" w:hanging="2"/>
        <w:jc w:val="left"/>
        <w:rPr>
          <w:sz w:val="18"/>
          <w:szCs w:val="18"/>
        </w:rPr>
      </w:pPr>
      <w:r w:rsidDel="00000000" w:rsidR="00000000" w:rsidRPr="00000000">
        <w:rPr>
          <w:sz w:val="18"/>
          <w:szCs w:val="18"/>
        </w:rPr>
        <w:drawing>
          <wp:inline distB="114300" distT="114300" distL="114300" distR="114300">
            <wp:extent cx="5760410" cy="1498600"/>
            <wp:effectExtent b="0" l="0" r="0" t="0"/>
            <wp:docPr id="104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1498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200" w:lineRule="auto"/>
        <w:ind w:left="0" w:hanging="2"/>
        <w:jc w:val="center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Obrázek 2 - Kombinace módů dopravy při cestě do místa určení (obrázek 4 normy)</w:t>
      </w:r>
    </w:p>
    <w:p w:rsidR="00000000" w:rsidDel="00000000" w:rsidP="00000000" w:rsidRDefault="00000000" w:rsidRPr="00000000" w14:paraId="00000033">
      <w:pPr>
        <w:ind w:left="0" w:hanging="2"/>
        <w:rPr/>
      </w:pPr>
      <w:r w:rsidDel="00000000" w:rsidR="00000000" w:rsidRPr="00000000">
        <w:rPr>
          <w:rtl w:val="0"/>
        </w:rPr>
        <w:t xml:space="preserve">Článek 6.2 Scénáře, vlastnosti a požadavky stanovuje </w:t>
      </w:r>
      <w:r w:rsidDel="00000000" w:rsidR="00000000" w:rsidRPr="00000000">
        <w:rPr>
          <w:b w:val="1"/>
          <w:rtl w:val="0"/>
        </w:rPr>
        <w:t xml:space="preserve">několik různých struktur zprávy RMR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34">
      <w:pPr>
        <w:numPr>
          <w:ilvl w:val="0"/>
          <w:numId w:val="2"/>
        </w:numPr>
        <w:spacing w:after="0" w:lineRule="auto"/>
        <w:ind w:left="72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pouze MMC, pro </w:t>
      </w:r>
      <w:r w:rsidDel="00000000" w:rsidR="00000000" w:rsidRPr="00000000">
        <w:rPr>
          <w:rtl w:val="0"/>
        </w:rPr>
        <w:t xml:space="preserve">rušící</w:t>
      </w:r>
      <w:r w:rsidDel="00000000" w:rsidR="00000000" w:rsidRPr="00000000">
        <w:rPr>
          <w:rtl w:val="0"/>
        </w:rPr>
        <w:t xml:space="preserve"> zprávy,</w:t>
      </w:r>
    </w:p>
    <w:p w:rsidR="00000000" w:rsidDel="00000000" w:rsidP="00000000" w:rsidRDefault="00000000" w:rsidRPr="00000000" w14:paraId="00000035">
      <w:pPr>
        <w:numPr>
          <w:ilvl w:val="0"/>
          <w:numId w:val="2"/>
        </w:numPr>
        <w:spacing w:after="0" w:lineRule="auto"/>
        <w:ind w:left="72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jeden MMC, jeden ADC a volitelně LRC popisující celou multimodální cestu. </w:t>
      </w:r>
    </w:p>
    <w:p w:rsidR="00000000" w:rsidDel="00000000" w:rsidP="00000000" w:rsidRDefault="00000000" w:rsidRPr="00000000" w14:paraId="00000036">
      <w:pPr>
        <w:spacing w:after="0" w:lineRule="auto"/>
        <w:ind w:left="0" w:hanging="2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ind w:left="0" w:hanging="2"/>
        <w:rPr/>
      </w:pPr>
      <w:r w:rsidDel="00000000" w:rsidR="00000000" w:rsidRPr="00000000">
        <w:rPr>
          <w:rtl w:val="0"/>
        </w:rPr>
        <w:t xml:space="preserve">Dále aplikace RMC umožňuje využití ve 2 scénářích:</w:t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spacing w:after="0" w:lineRule="auto"/>
        <w:ind w:left="770" w:hanging="360"/>
        <w:rPr>
          <w:u w:val="none"/>
        </w:rPr>
      </w:pPr>
      <w:r w:rsidDel="00000000" w:rsidR="00000000" w:rsidRPr="00000000">
        <w:rPr>
          <w:rtl w:val="0"/>
        </w:rPr>
        <w:t xml:space="preserve">vysílání typu “</w:t>
      </w:r>
      <w:r w:rsidDel="00000000" w:rsidR="00000000" w:rsidRPr="00000000">
        <w:rPr>
          <w:b w:val="1"/>
          <w:rtl w:val="0"/>
        </w:rPr>
        <w:t xml:space="preserve">broadcast</w:t>
      </w:r>
      <w:r w:rsidDel="00000000" w:rsidR="00000000" w:rsidRPr="00000000">
        <w:rPr>
          <w:rtl w:val="0"/>
        </w:rPr>
        <w:t xml:space="preserve">”, kdy zprávu s trasou obdrží všechny terminály v dosahu. </w:t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spacing w:after="0" w:lineRule="auto"/>
        <w:ind w:left="770" w:hanging="360"/>
        <w:rPr>
          <w:u w:val="none"/>
        </w:rPr>
      </w:pPr>
      <w:r w:rsidDel="00000000" w:rsidR="00000000" w:rsidRPr="00000000">
        <w:rPr>
          <w:b w:val="1"/>
          <w:rtl w:val="0"/>
        </w:rPr>
        <w:t xml:space="preserve">obousměrná P2P komunikace</w:t>
      </w:r>
      <w:r w:rsidDel="00000000" w:rsidR="00000000" w:rsidRPr="00000000">
        <w:rPr>
          <w:rtl w:val="0"/>
        </w:rPr>
        <w:t xml:space="preserve">, kdy může klientské zařízení zaslat obecný požadavek na trasu (stejné jako předchozí scénář) či kdy klientské zařízení zasílá specifický požadavek, ve kterém může určit řadu parametrů:</w:t>
      </w:r>
    </w:p>
    <w:p w:rsidR="00000000" w:rsidDel="00000000" w:rsidP="00000000" w:rsidRDefault="00000000" w:rsidRPr="00000000" w14:paraId="0000003A">
      <w:pPr>
        <w:numPr>
          <w:ilvl w:val="1"/>
          <w:numId w:val="3"/>
        </w:numPr>
        <w:spacing w:after="0" w:lineRule="auto"/>
        <w:ind w:left="1490" w:hanging="360"/>
        <w:rPr>
          <w:u w:val="none"/>
        </w:rPr>
      </w:pPr>
      <w:r w:rsidDel="00000000" w:rsidR="00000000" w:rsidRPr="00000000">
        <w:rPr>
          <w:rtl w:val="0"/>
        </w:rPr>
        <w:t xml:space="preserve">vyžádat si seznam tras</w:t>
      </w:r>
    </w:p>
    <w:p w:rsidR="00000000" w:rsidDel="00000000" w:rsidP="00000000" w:rsidRDefault="00000000" w:rsidRPr="00000000" w14:paraId="0000003B">
      <w:pPr>
        <w:numPr>
          <w:ilvl w:val="1"/>
          <w:numId w:val="3"/>
        </w:numPr>
        <w:spacing w:after="0" w:lineRule="auto"/>
        <w:ind w:left="1490" w:hanging="360"/>
        <w:rPr>
          <w:u w:val="none"/>
        </w:rPr>
      </w:pPr>
      <w:r w:rsidDel="00000000" w:rsidR="00000000" w:rsidRPr="00000000">
        <w:rPr>
          <w:rtl w:val="0"/>
        </w:rPr>
        <w:t xml:space="preserve">vyžádat si detailní informace o trase</w:t>
      </w:r>
    </w:p>
    <w:p w:rsidR="00000000" w:rsidDel="00000000" w:rsidP="00000000" w:rsidRDefault="00000000" w:rsidRPr="00000000" w14:paraId="0000003C">
      <w:pPr>
        <w:numPr>
          <w:ilvl w:val="1"/>
          <w:numId w:val="3"/>
        </w:numPr>
        <w:spacing w:after="0" w:lineRule="auto"/>
        <w:ind w:left="1490" w:hanging="360"/>
        <w:rPr>
          <w:u w:val="none"/>
        </w:rPr>
      </w:pPr>
      <w:r w:rsidDel="00000000" w:rsidR="00000000" w:rsidRPr="00000000">
        <w:rPr>
          <w:rtl w:val="0"/>
        </w:rPr>
        <w:t xml:space="preserve">vybrat (aktivovat) trasu, ke které bude dostávat aktualizace (od serveru)</w:t>
      </w:r>
    </w:p>
    <w:p w:rsidR="00000000" w:rsidDel="00000000" w:rsidP="00000000" w:rsidRDefault="00000000" w:rsidRPr="00000000" w14:paraId="0000003D">
      <w:pPr>
        <w:numPr>
          <w:ilvl w:val="1"/>
          <w:numId w:val="3"/>
        </w:numPr>
        <w:spacing w:after="0" w:lineRule="auto"/>
        <w:ind w:left="1490" w:hanging="360"/>
        <w:rPr>
          <w:u w:val="none"/>
        </w:rPr>
      </w:pPr>
      <w:r w:rsidDel="00000000" w:rsidR="00000000" w:rsidRPr="00000000">
        <w:rPr>
          <w:rtl w:val="0"/>
        </w:rPr>
        <w:t xml:space="preserve">vyžádat si aktualizaci trasy (dle aktuální polohy terminálu)</w:t>
      </w:r>
    </w:p>
    <w:p w:rsidR="00000000" w:rsidDel="00000000" w:rsidP="00000000" w:rsidRDefault="00000000" w:rsidRPr="00000000" w14:paraId="0000003E">
      <w:pPr>
        <w:numPr>
          <w:ilvl w:val="1"/>
          <w:numId w:val="3"/>
        </w:numPr>
        <w:ind w:left="1490" w:hanging="360"/>
        <w:rPr>
          <w:u w:val="none"/>
        </w:rPr>
      </w:pPr>
      <w:r w:rsidDel="00000000" w:rsidR="00000000" w:rsidRPr="00000000">
        <w:rPr>
          <w:rtl w:val="0"/>
        </w:rPr>
        <w:t xml:space="preserve">zrušit RMC relaci</w:t>
      </w:r>
    </w:p>
    <w:p w:rsidR="00000000" w:rsidDel="00000000" w:rsidP="00000000" w:rsidRDefault="00000000" w:rsidRPr="00000000" w14:paraId="0000003F">
      <w:pPr>
        <w:ind w:left="0" w:hanging="2"/>
        <w:rPr/>
      </w:pPr>
      <w:r w:rsidDel="00000000" w:rsidR="00000000" w:rsidRPr="00000000">
        <w:rPr>
          <w:rtl w:val="0"/>
        </w:rPr>
        <w:t xml:space="preserve">Článek uvádí (obrázkem) typický průběh RMR relace.</w:t>
      </w:r>
    </w:p>
    <w:p w:rsidR="00000000" w:rsidDel="00000000" w:rsidP="00000000" w:rsidRDefault="00000000" w:rsidRPr="00000000" w14:paraId="00000040">
      <w:pPr>
        <w:pStyle w:val="Heading1"/>
        <w:ind w:left="0" w:hanging="2"/>
        <w:rPr/>
      </w:pPr>
      <w:bookmarkStart w:colFirst="0" w:colLast="0" w:name="_heading=h.zeeuw5iep7ap" w:id="21"/>
      <w:bookmarkEnd w:id="21"/>
      <w:r w:rsidDel="00000000" w:rsidR="00000000" w:rsidRPr="00000000">
        <w:rPr>
          <w:rtl w:val="0"/>
        </w:rPr>
        <w:t xml:space="preserve">7 Komponenty zprávy RMR</w:t>
      </w:r>
    </w:p>
    <w:p w:rsidR="00000000" w:rsidDel="00000000" w:rsidP="00000000" w:rsidRDefault="00000000" w:rsidRPr="00000000" w14:paraId="0000004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(rozsah </w:t>
      </w:r>
      <w:r w:rsidDel="00000000" w:rsidR="00000000" w:rsidRPr="00000000">
        <w:rPr>
          <w:rtl w:val="0"/>
        </w:rPr>
        <w:t xml:space="preserve">9</w:t>
      </w:r>
      <w:r w:rsidDel="00000000" w:rsidR="00000000" w:rsidRPr="00000000">
        <w:rPr>
          <w:color w:val="000000"/>
          <w:rtl w:val="0"/>
        </w:rPr>
        <w:t xml:space="preserve"> stran, tabulky) popisuje jednotlivé komponenty zprávy </w:t>
      </w:r>
      <w:r w:rsidDel="00000000" w:rsidR="00000000" w:rsidRPr="00000000">
        <w:rPr>
          <w:rtl w:val="0"/>
        </w:rPr>
        <w:t xml:space="preserve">RMR</w:t>
      </w:r>
      <w:r w:rsidDel="00000000" w:rsidR="00000000" w:rsidRPr="00000000">
        <w:rPr>
          <w:color w:val="000000"/>
          <w:rtl w:val="0"/>
        </w:rPr>
        <w:t xml:space="preserve"> pro odpověď (RMRMessage) i požada</w:t>
      </w:r>
      <w:r w:rsidDel="00000000" w:rsidR="00000000" w:rsidRPr="00000000">
        <w:rPr>
          <w:rtl w:val="0"/>
        </w:rPr>
        <w:t xml:space="preserve">vek</w:t>
      </w:r>
      <w:r w:rsidDel="00000000" w:rsidR="00000000" w:rsidRPr="00000000">
        <w:rPr>
          <w:color w:val="000000"/>
          <w:rtl w:val="0"/>
        </w:rPr>
        <w:t xml:space="preserve">.</w:t>
      </w:r>
    </w:p>
    <w:p w:rsidR="00000000" w:rsidDel="00000000" w:rsidP="00000000" w:rsidRDefault="00000000" w:rsidRPr="00000000" w14:paraId="0000004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/>
      </w:pPr>
      <w:r w:rsidDel="00000000" w:rsidR="00000000" w:rsidRPr="00000000">
        <w:rPr>
          <w:rtl w:val="0"/>
        </w:rPr>
        <w:t xml:space="preserve">Stanovuje pro zprávu RMR její základní strukturu a detailně popisuje její jednotlivé součásti. Zejména trasu (Route), která je popsána vlastními metadaty (id, typ trasy, čas začátku a konce, typ přístupu, atp.) a jednotlivými částmi trasy (RouteSegment) opět se specifickými metadaty (čas, mód, vzdálenost, cena, číslo linky, provozovatel, atp.) polohou, popisem parkoviště na konci segmentu a detaily podle módu dopravy.</w:t>
      </w:r>
    </w:p>
    <w:p w:rsidR="00000000" w:rsidDel="00000000" w:rsidP="00000000" w:rsidRDefault="00000000" w:rsidRPr="00000000" w14:paraId="0000004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/>
      </w:pPr>
      <w:r w:rsidDel="00000000" w:rsidR="00000000" w:rsidRPr="00000000">
        <w:rPr>
          <w:rtl w:val="0"/>
        </w:rPr>
        <w:t xml:space="preserve">Detaily podle módu dopravy zahrnují informace k cestě veřejnou hromadnou dopravou (počáteční a koncová stanice, (bez)bariérovost) a k cestě pěšky (počáteční a koncový bod, typy cesty).</w:t>
      </w:r>
    </w:p>
    <w:p w:rsidR="00000000" w:rsidDel="00000000" w:rsidP="00000000" w:rsidRDefault="00000000" w:rsidRPr="00000000" w14:paraId="0000004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/>
      </w:pPr>
      <w:r w:rsidDel="00000000" w:rsidR="00000000" w:rsidRPr="00000000">
        <w:rPr>
          <w:rtl w:val="0"/>
        </w:rPr>
        <w:t xml:space="preserve">Parkoviště je popsáno metadaty zahrnujícími název, obsazenost, cenu, popis, čas na zaparkování a polohu. </w:t>
      </w:r>
    </w:p>
    <w:p w:rsidR="00000000" w:rsidDel="00000000" w:rsidP="00000000" w:rsidRDefault="00000000" w:rsidRPr="00000000" w14:paraId="0000004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/>
      </w:pPr>
      <w:r w:rsidDel="00000000" w:rsidR="00000000" w:rsidRPr="00000000">
        <w:rPr>
          <w:rtl w:val="0"/>
        </w:rPr>
        <w:t xml:space="preserve">Další část článku stanovuje požadavek na trasu (RMRRequestMessage), který obsahuje požadavek na vygenerování seznamu tras (RMRListReqParams) podle zadaných parametrů (počátek a konec cesty, čas, typ cesty, počet a polohu zastávek, doplňkové požadavky atp.), požadavek na vrácení jedné trasy (RMRRouteReqParams) podle polohy či id trasy, požadavek na aktivaci trasy (RMRActivateRouteReqParams) a požadavek na zrušení relace (TerminateRMRSession).</w:t>
      </w:r>
    </w:p>
    <w:p w:rsidR="00000000" w:rsidDel="00000000" w:rsidP="00000000" w:rsidRDefault="00000000" w:rsidRPr="00000000" w14:paraId="0000004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/>
      </w:pPr>
      <w:r w:rsidDel="00000000" w:rsidR="00000000" w:rsidRPr="00000000">
        <w:rPr>
          <w:rtl w:val="0"/>
        </w:rPr>
        <w:t xml:space="preserve">Mezi možné doplňkové požadavky k trase patří: přístup pro vozíčkáře, pouze krátké pěší segmenty, typ cesty (krátká, rychlá …), parkoviště v místě určení, maximální počet přestupů, maximální délky tras podle dopravních módů atp.</w:t>
      </w:r>
    </w:p>
    <w:p w:rsidR="00000000" w:rsidDel="00000000" w:rsidP="00000000" w:rsidRDefault="00000000" w:rsidRPr="00000000" w14:paraId="0000004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rtl w:val="0"/>
        </w:rPr>
        <w:t xml:space="preserve">Popis polohy není specifikován, dokument doporučuje metodu GLR.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b w:val="1"/>
          <w:color w:val="000000"/>
          <w:sz w:val="22"/>
          <w:szCs w:val="22"/>
        </w:rPr>
      </w:pP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8 Datové typy </w:t>
      </w:r>
      <w:r w:rsidDel="00000000" w:rsidR="00000000" w:rsidRPr="00000000">
        <w:rPr>
          <w:b w:val="1"/>
          <w:sz w:val="22"/>
          <w:szCs w:val="22"/>
          <w:rtl w:val="0"/>
        </w:rPr>
        <w:t xml:space="preserve">RMR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(rozsah 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color w:val="000000"/>
          <w:rtl w:val="0"/>
        </w:rPr>
        <w:t xml:space="preserve"> stran) obsahuje </w:t>
      </w:r>
      <w:r w:rsidDel="00000000" w:rsidR="00000000" w:rsidRPr="00000000">
        <w:rPr>
          <w:b w:val="1"/>
          <w:color w:val="000000"/>
          <w:rtl w:val="0"/>
        </w:rPr>
        <w:t xml:space="preserve">definice</w:t>
      </w:r>
      <w:r w:rsidDel="00000000" w:rsidR="00000000" w:rsidRPr="00000000">
        <w:rPr>
          <w:color w:val="000000"/>
          <w:rtl w:val="0"/>
        </w:rPr>
        <w:t xml:space="preserve"> použitých datových struktur (typů).  Na obrázku níže (Obrázek </w:t>
      </w:r>
      <w:r w:rsidDel="00000000" w:rsidR="00000000" w:rsidRPr="00000000">
        <w:rPr>
          <w:rtl w:val="0"/>
        </w:rPr>
        <w:t xml:space="preserve">3</w:t>
      </w:r>
      <w:r w:rsidDel="00000000" w:rsidR="00000000" w:rsidRPr="00000000">
        <w:rPr>
          <w:color w:val="000000"/>
          <w:rtl w:val="0"/>
        </w:rPr>
        <w:t xml:space="preserve">) je, pro ilustraci obsahu a sloupců, uvedena část tabulky popisující datovou strukturu </w:t>
      </w:r>
      <w:r w:rsidDel="00000000" w:rsidR="00000000" w:rsidRPr="00000000">
        <w:rPr>
          <w:rtl w:val="0"/>
        </w:rPr>
        <w:t xml:space="preserve">PredefConnection</w:t>
      </w:r>
      <w:r w:rsidDel="00000000" w:rsidR="00000000" w:rsidRPr="00000000">
        <w:rPr>
          <w:color w:val="000000"/>
          <w:rtl w:val="0"/>
        </w:rPr>
        <w:t xml:space="preserve">.</w:t>
      </w:r>
    </w:p>
    <w:p w:rsidR="00000000" w:rsidDel="00000000" w:rsidP="00000000" w:rsidRDefault="00000000" w:rsidRPr="00000000" w14:paraId="0000004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bookmarkStart w:colFirst="0" w:colLast="0" w:name="_heading=h.3rdcrjn" w:id="22"/>
      <w:bookmarkEnd w:id="22"/>
      <w:r w:rsidDel="00000000" w:rsidR="00000000" w:rsidRPr="00000000">
        <w:rPr/>
        <w:drawing>
          <wp:inline distB="114300" distT="114300" distL="114300" distR="114300">
            <wp:extent cx="5760410" cy="1600200"/>
            <wp:effectExtent b="0" l="0" r="0" t="0"/>
            <wp:docPr id="104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1600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Rule="auto"/>
        <w:ind w:left="0" w:hanging="2"/>
        <w:jc w:val="center"/>
        <w:rPr>
          <w:color w:val="000000"/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Obrázek 3 - Ukázka části struktury PredefConnection (tabulka 18 normy)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Struktury se skládají ze složitých či jednoduchých datových objektů, výskyt každé položky datové struktury (</w:t>
      </w:r>
      <w:r w:rsidDel="00000000" w:rsidR="00000000" w:rsidRPr="00000000">
        <w:rPr>
          <w:rtl w:val="0"/>
        </w:rPr>
        <w:t xml:space="preserve">tj.</w:t>
      </w:r>
      <w:r w:rsidDel="00000000" w:rsidR="00000000" w:rsidRPr="00000000">
        <w:rPr>
          <w:color w:val="000000"/>
          <w:rtl w:val="0"/>
        </w:rPr>
        <w:t xml:space="preserve"> její multiplicita) je doplněn datovým typem a popisem. Tabulka níže uvádí datové struktury stanovené v této kapitole.</w:t>
      </w:r>
    </w:p>
    <w:p w:rsidR="00000000" w:rsidDel="00000000" w:rsidP="00000000" w:rsidRDefault="00000000" w:rsidRPr="00000000" w14:paraId="0000004D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Rule="auto"/>
        <w:ind w:left="0" w:hanging="2"/>
        <w:jc w:val="center"/>
        <w:rPr>
          <w:color w:val="000000"/>
          <w:sz w:val="18"/>
          <w:szCs w:val="18"/>
        </w:rPr>
      </w:pPr>
      <w:bookmarkStart w:colFirst="0" w:colLast="0" w:name="_heading=h.26in1rg" w:id="23"/>
      <w:bookmarkEnd w:id="23"/>
      <w:r w:rsidDel="00000000" w:rsidR="00000000" w:rsidRPr="00000000">
        <w:rPr>
          <w:color w:val="000000"/>
          <w:sz w:val="18"/>
          <w:szCs w:val="18"/>
          <w:rtl w:val="0"/>
        </w:rPr>
        <w:t xml:space="preserve">Tabulka 1 - Seznam stanovených datových typů (zdroj: autor extraktu)</w:t>
      </w:r>
    </w:p>
    <w:tbl>
      <w:tblPr>
        <w:tblStyle w:val="Table2"/>
        <w:tblW w:w="9045.0" w:type="dxa"/>
        <w:jc w:val="left"/>
        <w:tblInd w:w="115.0" w:type="dxa"/>
        <w:tblLayout w:type="fixed"/>
        <w:tblLook w:val="0000"/>
      </w:tblPr>
      <w:tblGrid>
        <w:gridCol w:w="2534"/>
        <w:gridCol w:w="6511"/>
        <w:tblGridChange w:id="0">
          <w:tblGrid>
            <w:gridCol w:w="2534"/>
            <w:gridCol w:w="6511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Struktura </w:t>
            </w:r>
            <w:r w:rsidDel="00000000" w:rsidR="00000000" w:rsidRPr="00000000">
              <w:rPr>
                <w:b w:val="1"/>
                <w:rtl w:val="0"/>
              </w:rPr>
              <w:t xml:space="preserve">RMR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Popis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0">
            <w:pPr>
              <w:spacing w:after="0" w:line="240" w:lineRule="auto"/>
              <w:ind w:left="0" w:hanging="2"/>
              <w:rPr/>
            </w:pPr>
            <w:r w:rsidDel="00000000" w:rsidR="00000000" w:rsidRPr="00000000">
              <w:rPr>
                <w:rtl w:val="0"/>
              </w:rPr>
              <w:t xml:space="preserve">EnergyConsumption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informace o spotřebované energii na daný segment trasy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2">
            <w:pPr>
              <w:spacing w:after="0" w:line="240" w:lineRule="auto"/>
              <w:ind w:left="0" w:hanging="2"/>
              <w:rPr/>
            </w:pPr>
            <w:r w:rsidDel="00000000" w:rsidR="00000000" w:rsidRPr="00000000">
              <w:rPr>
                <w:rtl w:val="0"/>
              </w:rPr>
              <w:t xml:space="preserve">Operator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kontakt na provozovatele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4">
            <w:pPr>
              <w:spacing w:after="0" w:line="240" w:lineRule="auto"/>
              <w:ind w:left="0" w:hanging="2"/>
              <w:rPr/>
            </w:pPr>
            <w:r w:rsidDel="00000000" w:rsidR="00000000" w:rsidRPr="00000000">
              <w:rPr>
                <w:rtl w:val="0"/>
              </w:rPr>
              <w:t xml:space="preserve">PredefConnection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požadované konkrétní spojení v rámci trasy, (objednaný let …)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6">
            <w:pPr>
              <w:spacing w:after="0" w:line="240" w:lineRule="auto"/>
              <w:ind w:left="0" w:hanging="2"/>
              <w:rPr/>
            </w:pPr>
            <w:r w:rsidDel="00000000" w:rsidR="00000000" w:rsidRPr="00000000">
              <w:rPr>
                <w:rtl w:val="0"/>
              </w:rPr>
              <w:t xml:space="preserve">WGS84Coordinate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zeměpisná poloha (lat, lon)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8">
            <w:pPr>
              <w:spacing w:after="0" w:line="240" w:lineRule="auto"/>
              <w:ind w:left="0" w:hanging="2"/>
              <w:rPr/>
            </w:pPr>
            <w:r w:rsidDel="00000000" w:rsidR="00000000" w:rsidRPr="00000000">
              <w:rPr>
                <w:rtl w:val="0"/>
              </w:rPr>
              <w:t xml:space="preserve">MessageLink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odkaz na zprávu obsahující více detailů o trase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A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b w:val="1"/>
          <w:color w:val="000000"/>
          <w:sz w:val="22"/>
          <w:szCs w:val="22"/>
        </w:rPr>
      </w:pPr>
      <w:bookmarkStart w:colFirst="0" w:colLast="0" w:name="_heading=h.lnxbz9" w:id="24"/>
      <w:bookmarkEnd w:id="24"/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9 Tabulky </w:t>
      </w:r>
      <w:r w:rsidDel="00000000" w:rsidR="00000000" w:rsidRPr="00000000">
        <w:rPr>
          <w:b w:val="1"/>
          <w:sz w:val="22"/>
          <w:szCs w:val="22"/>
          <w:rtl w:val="0"/>
        </w:rPr>
        <w:t xml:space="preserve">RMR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(rozsah </w:t>
      </w:r>
      <w:r w:rsidDel="00000000" w:rsidR="00000000" w:rsidRPr="00000000">
        <w:rPr>
          <w:rtl w:val="0"/>
        </w:rPr>
        <w:t xml:space="preserve">5</w:t>
      </w:r>
      <w:r w:rsidDel="00000000" w:rsidR="00000000" w:rsidRPr="00000000">
        <w:rPr>
          <w:color w:val="000000"/>
          <w:rtl w:val="0"/>
        </w:rPr>
        <w:t xml:space="preserve"> stran) obsahuje definice výčtových typů aplikace </w:t>
      </w:r>
      <w:r w:rsidDel="00000000" w:rsidR="00000000" w:rsidRPr="00000000">
        <w:rPr>
          <w:rtl w:val="0"/>
        </w:rPr>
        <w:t xml:space="preserve">RMR</w:t>
      </w:r>
      <w:r w:rsidDel="00000000" w:rsidR="00000000" w:rsidRPr="00000000">
        <w:rPr>
          <w:color w:val="000000"/>
          <w:rtl w:val="0"/>
        </w:rPr>
        <w:t xml:space="preserve"> (v 8 tabulkách).  Následující tabulka jmenovitě uvádí jednotlivé tabulky a doplňuje je popisem a příkladem obsahu.</w:t>
      </w:r>
    </w:p>
    <w:p w:rsidR="00000000" w:rsidDel="00000000" w:rsidP="00000000" w:rsidRDefault="00000000" w:rsidRPr="00000000" w14:paraId="0000005C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sz w:val="18"/>
          <w:szCs w:val="18"/>
        </w:rPr>
      </w:pPr>
      <w:bookmarkStart w:colFirst="0" w:colLast="0" w:name="_heading=h.iykewot5vw7m" w:id="25"/>
      <w:bookmarkEnd w:id="25"/>
      <w:r w:rsidDel="00000000" w:rsidR="00000000" w:rsidRPr="00000000">
        <w:rPr>
          <w:sz w:val="18"/>
          <w:szCs w:val="18"/>
          <w:rtl w:val="0"/>
        </w:rPr>
        <w:t xml:space="preserve">Tabulka 2 - Seznam tabulek RMR (výčtů hodnot) (zdroj: autor extraktu)</w:t>
      </w:r>
    </w:p>
    <w:tbl>
      <w:tblPr>
        <w:tblStyle w:val="Table3"/>
        <w:tblW w:w="9060.0" w:type="dxa"/>
        <w:jc w:val="left"/>
        <w:tblInd w:w="131.0" w:type="dxa"/>
        <w:tblLayout w:type="fixed"/>
        <w:tblLook w:val="0000"/>
      </w:tblPr>
      <w:tblGrid>
        <w:gridCol w:w="2519"/>
        <w:gridCol w:w="3690"/>
        <w:gridCol w:w="2851"/>
        <w:tblGridChange w:id="0">
          <w:tblGrid>
            <w:gridCol w:w="2519"/>
            <w:gridCol w:w="3690"/>
            <w:gridCol w:w="2851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Tabulka </w:t>
            </w:r>
            <w:r w:rsidDel="00000000" w:rsidR="00000000" w:rsidRPr="00000000">
              <w:rPr>
                <w:b w:val="1"/>
                <w:rtl w:val="0"/>
              </w:rPr>
              <w:t xml:space="preserve">RMR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Popis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Obsah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0">
            <w:pPr>
              <w:ind w:left="0" w:hanging="2"/>
              <w:rPr/>
            </w:pPr>
            <w:r w:rsidDel="00000000" w:rsidR="00000000" w:rsidRPr="00000000">
              <w:rPr>
                <w:rtl w:val="0"/>
              </w:rPr>
              <w:t xml:space="preserve">rmr001:RouteType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Výčet různých typů </w:t>
            </w:r>
            <w:r w:rsidDel="00000000" w:rsidR="00000000" w:rsidRPr="00000000">
              <w:rPr>
                <w:rtl w:val="0"/>
              </w:rPr>
              <w:t xml:space="preserve">tras</w:t>
            </w:r>
            <w:r w:rsidDel="00000000" w:rsidR="00000000" w:rsidRPr="00000000">
              <w:rPr>
                <w:color w:val="000000"/>
                <w:rtl w:val="0"/>
              </w:rPr>
              <w:t xml:space="preserve">.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př.:001:roadRoute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rmr002:ModeType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Výčet módů</w:t>
            </w:r>
            <w:r w:rsidDel="00000000" w:rsidR="00000000" w:rsidRPr="00000000">
              <w:rPr>
                <w:rtl w:val="0"/>
              </w:rPr>
              <w:t xml:space="preserve">, dopr. prostředků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Př.: 002: </w:t>
            </w:r>
            <w:r w:rsidDel="00000000" w:rsidR="00000000" w:rsidRPr="00000000">
              <w:rPr>
                <w:rtl w:val="0"/>
              </w:rPr>
              <w:t xml:space="preserve">pedestrian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rmr003:ParkType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Výčet typů parkovišť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Př.: 002: ParkAndRide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rmr005:RouteObjectives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Výčet typů </w:t>
            </w:r>
            <w:r w:rsidDel="00000000" w:rsidR="00000000" w:rsidRPr="00000000">
              <w:rPr>
                <w:rtl w:val="0"/>
              </w:rPr>
              <w:t xml:space="preserve">trasy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Př.: 00</w:t>
            </w:r>
            <w:r w:rsidDel="00000000" w:rsidR="00000000" w:rsidRPr="00000000">
              <w:rPr>
                <w:rtl w:val="0"/>
              </w:rPr>
              <w:t xml:space="preserve">1</w:t>
            </w:r>
            <w:r w:rsidDel="00000000" w:rsidR="00000000" w:rsidRPr="00000000">
              <w:rPr>
                <w:color w:val="000000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  <w:t xml:space="preserve">fastest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rmr006:RouteCause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Výčet důvodů poskytnutí trasy serverem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Př.: 003: </w:t>
            </w:r>
            <w:r w:rsidDel="00000000" w:rsidR="00000000" w:rsidRPr="00000000">
              <w:rPr>
                <w:rtl w:val="0"/>
              </w:rPr>
              <w:t xml:space="preserve">roadClosure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rmr007:AccessType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Výčet </w:t>
            </w:r>
            <w:r w:rsidDel="00000000" w:rsidR="00000000" w:rsidRPr="00000000">
              <w:rPr>
                <w:rtl w:val="0"/>
              </w:rPr>
              <w:t xml:space="preserve">typů bariér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Př.: 002:</w:t>
            </w:r>
            <w:r w:rsidDel="00000000" w:rsidR="00000000" w:rsidRPr="00000000">
              <w:rPr>
                <w:rtl w:val="0"/>
              </w:rPr>
              <w:t xml:space="preserve">escalator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rmr008:OccTendency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Výčet tendence zaplňování parkoviště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Př.: 002:</w:t>
            </w:r>
            <w:r w:rsidDel="00000000" w:rsidR="00000000" w:rsidRPr="00000000">
              <w:rPr>
                <w:rtl w:val="0"/>
              </w:rPr>
              <w:t xml:space="preserve">increasing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rmr009:EnergyType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Výčet </w:t>
            </w:r>
            <w:r w:rsidDel="00000000" w:rsidR="00000000" w:rsidRPr="00000000">
              <w:rPr>
                <w:rtl w:val="0"/>
              </w:rPr>
              <w:t xml:space="preserve">typů energií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Př: 005:</w:t>
            </w:r>
            <w:r w:rsidDel="00000000" w:rsidR="00000000" w:rsidRPr="00000000">
              <w:rPr>
                <w:rtl w:val="0"/>
              </w:rPr>
              <w:t xml:space="preserve">H2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/>
            </w:pPr>
            <w:r w:rsidDel="00000000" w:rsidR="00000000" w:rsidRPr="00000000">
              <w:rPr>
                <w:rtl w:val="0"/>
              </w:rPr>
              <w:t xml:space="preserve">rmr099:ErrorCode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chybová zpráva (1=výčet obsahuje jednu položku)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001: invalid location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Následující tabulka obsahuje ukázku tabulky „</w:t>
      </w:r>
      <w:r w:rsidDel="00000000" w:rsidR="00000000" w:rsidRPr="00000000">
        <w:rPr>
          <w:rtl w:val="0"/>
        </w:rPr>
        <w:t xml:space="preserve">rmr002:ModeType</w:t>
      </w:r>
      <w:r w:rsidDel="00000000" w:rsidR="00000000" w:rsidRPr="00000000">
        <w:rPr>
          <w:color w:val="000000"/>
          <w:rtl w:val="0"/>
        </w:rPr>
        <w:t xml:space="preserve">” z popisovaného dokumentu.</w:t>
      </w:r>
    </w:p>
    <w:p w:rsidR="00000000" w:rsidDel="00000000" w:rsidP="00000000" w:rsidRDefault="00000000" w:rsidRPr="00000000" w14:paraId="0000007D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color w:val="000000"/>
          <w:sz w:val="18"/>
          <w:szCs w:val="18"/>
        </w:rPr>
      </w:pPr>
      <w:bookmarkStart w:colFirst="0" w:colLast="0" w:name="_heading=h.wpo5mx1gy36r" w:id="26"/>
      <w:bookmarkEnd w:id="26"/>
      <w:r w:rsidDel="00000000" w:rsidR="00000000" w:rsidRPr="00000000">
        <w:rPr>
          <w:color w:val="000000"/>
          <w:sz w:val="18"/>
          <w:szCs w:val="18"/>
          <w:rtl w:val="0"/>
        </w:rPr>
        <w:t xml:space="preserve">Tabulka 3 -</w:t>
      </w:r>
      <w:r w:rsidDel="00000000" w:rsidR="00000000" w:rsidRPr="00000000">
        <w:rPr>
          <w:b w:val="1"/>
          <w:sz w:val="22"/>
          <w:szCs w:val="22"/>
          <w:rtl w:val="0"/>
        </w:rPr>
        <w:t xml:space="preserve"> </w:t>
      </w:r>
      <w:r w:rsidDel="00000000" w:rsidR="00000000" w:rsidRPr="00000000">
        <w:rPr>
          <w:color w:val="000000"/>
          <w:sz w:val="18"/>
          <w:szCs w:val="18"/>
          <w:rtl w:val="0"/>
        </w:rPr>
        <w:t xml:space="preserve">Příklad části definice výčtového typu </w:t>
      </w:r>
      <w:r w:rsidDel="00000000" w:rsidR="00000000" w:rsidRPr="00000000">
        <w:rPr>
          <w:sz w:val="18"/>
          <w:szCs w:val="18"/>
          <w:rtl w:val="0"/>
        </w:rPr>
        <w:t xml:space="preserve">rmr002:ModeType</w:t>
      </w:r>
      <w:r w:rsidDel="00000000" w:rsidR="00000000" w:rsidRPr="00000000">
        <w:rPr>
          <w:color w:val="000000"/>
          <w:sz w:val="18"/>
          <w:szCs w:val="18"/>
          <w:rtl w:val="0"/>
        </w:rPr>
        <w:t xml:space="preserve"> (tabulka 22 normy)</w:t>
      </w:r>
    </w:p>
    <w:tbl>
      <w:tblPr>
        <w:tblStyle w:val="Table4"/>
        <w:tblW w:w="9044.0" w:type="dxa"/>
        <w:jc w:val="left"/>
        <w:tblInd w:w="131.0" w:type="dxa"/>
        <w:tblLayout w:type="fixed"/>
        <w:tblLook w:val="0000"/>
      </w:tblPr>
      <w:tblGrid>
        <w:gridCol w:w="2519"/>
        <w:gridCol w:w="2550"/>
        <w:gridCol w:w="3975"/>
        <w:tblGridChange w:id="0">
          <w:tblGrid>
            <w:gridCol w:w="2519"/>
            <w:gridCol w:w="2550"/>
            <w:gridCol w:w="397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Kód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Fráze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komentář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00</w:t>
            </w:r>
            <w:r w:rsidDel="00000000" w:rsidR="00000000" w:rsidRPr="00000000">
              <w:rPr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auto</w:t>
            </w:r>
            <w:r w:rsidDel="00000000" w:rsidR="00000000" w:rsidRPr="00000000">
              <w:rPr>
                <w:color w:val="000000"/>
                <w:rtl w:val="0"/>
              </w:rPr>
              <w:t xml:space="preserve"> (car)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segment popisuje cestu autem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00</w:t>
            </w:r>
            <w:r w:rsidDel="00000000" w:rsidR="00000000" w:rsidRPr="00000000">
              <w:rPr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chodec</w:t>
            </w:r>
            <w:r w:rsidDel="00000000" w:rsidR="00000000" w:rsidRPr="00000000">
              <w:rPr>
                <w:color w:val="000000"/>
                <w:rtl w:val="0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 pedestrian</w:t>
            </w:r>
            <w:r w:rsidDel="00000000" w:rsidR="00000000" w:rsidRPr="00000000">
              <w:rPr>
                <w:color w:val="000000"/>
                <w:rtl w:val="0"/>
              </w:rPr>
              <w:t xml:space="preserve">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segment popisuje cestu pěšky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00</w:t>
            </w:r>
            <w:r w:rsidDel="00000000" w:rsidR="00000000" w:rsidRPr="00000000">
              <w:rPr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autobus </w:t>
            </w:r>
            <w:r w:rsidDel="00000000" w:rsidR="00000000" w:rsidRPr="00000000">
              <w:rPr>
                <w:color w:val="000000"/>
                <w:rtl w:val="0"/>
              </w:rPr>
              <w:t xml:space="preserve">(bus)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segment popisuje cestu autobusem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A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b w:val="1"/>
          <w:color w:val="000000"/>
          <w:sz w:val="22"/>
          <w:szCs w:val="22"/>
        </w:rPr>
      </w:pPr>
      <w:bookmarkStart w:colFirst="0" w:colLast="0" w:name="_heading=h.35nkun2" w:id="27"/>
      <w:bookmarkEnd w:id="27"/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Příloha A (</w:t>
      </w:r>
      <w:r w:rsidDel="00000000" w:rsidR="00000000" w:rsidRPr="00000000">
        <w:rPr>
          <w:b w:val="1"/>
          <w:sz w:val="22"/>
          <w:szCs w:val="22"/>
          <w:rtl w:val="0"/>
        </w:rPr>
        <w:t xml:space="preserve">normativní</w:t>
      </w: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) TPEG-bin reprezentace </w:t>
      </w:r>
      <w:r w:rsidDel="00000000" w:rsidR="00000000" w:rsidRPr="00000000">
        <w:rPr>
          <w:b w:val="1"/>
          <w:sz w:val="22"/>
          <w:szCs w:val="22"/>
          <w:rtl w:val="0"/>
        </w:rPr>
        <w:t xml:space="preserve">RMR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bookmarkStart w:colFirst="0" w:colLast="0" w:name="_heading=h.1ksv4uv" w:id="28"/>
      <w:bookmarkEnd w:id="28"/>
      <w:r w:rsidDel="00000000" w:rsidR="00000000" w:rsidRPr="00000000">
        <w:rPr>
          <w:color w:val="000000"/>
          <w:rtl w:val="0"/>
        </w:rPr>
        <w:t xml:space="preserve">Tato příloha (rozsah 16 stran) stanovuje binární reprezentaci aplikace </w:t>
      </w:r>
      <w:r w:rsidDel="00000000" w:rsidR="00000000" w:rsidRPr="00000000">
        <w:rPr>
          <w:rtl w:val="0"/>
        </w:rPr>
        <w:t xml:space="preserve">RMR</w:t>
      </w:r>
      <w:r w:rsidDel="00000000" w:rsidR="00000000" w:rsidRPr="00000000">
        <w:rPr>
          <w:color w:val="000000"/>
          <w:rtl w:val="0"/>
        </w:rPr>
        <w:t xml:space="preserve"> pro použití v DAB. Pro popis binární reprezentace je použit pseudokód, kde pro každé klíčové slovo zapsané struktury je znám jeho binární tvar.</w:t>
      </w:r>
    </w:p>
    <w:p w:rsidR="00000000" w:rsidDel="00000000" w:rsidP="00000000" w:rsidRDefault="00000000" w:rsidRPr="00000000" w14:paraId="0000008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bookmarkStart w:colFirst="0" w:colLast="0" w:name="_heading=h.44sinio" w:id="29"/>
      <w:bookmarkEnd w:id="29"/>
      <w:r w:rsidDel="00000000" w:rsidR="00000000" w:rsidRPr="00000000">
        <w:rPr>
          <w:color w:val="000000"/>
          <w:rtl w:val="0"/>
        </w:rPr>
        <w:t xml:space="preserve">Příloha obsahuje samostatně uvedené binární reprezentace rámce TPEG, zprávy </w:t>
      </w:r>
      <w:r w:rsidDel="00000000" w:rsidR="00000000" w:rsidRPr="00000000">
        <w:rPr>
          <w:rtl w:val="0"/>
        </w:rPr>
        <w:t xml:space="preserve">RMR</w:t>
      </w:r>
      <w:r w:rsidDel="00000000" w:rsidR="00000000" w:rsidRPr="00000000">
        <w:rPr>
          <w:color w:val="000000"/>
          <w:rtl w:val="0"/>
        </w:rPr>
        <w:t xml:space="preserve"> a jejích součástí, prvků určených pro budoucí rozšíření a datových typů. Dále obsahuje identifikátory komponent zprávy a vysvětlení použití obecných atributů TPEG. Příklad pseudokódu binární specifikace </w:t>
      </w:r>
      <w:r w:rsidDel="00000000" w:rsidR="00000000" w:rsidRPr="00000000">
        <w:rPr>
          <w:rtl w:val="0"/>
        </w:rPr>
        <w:t xml:space="preserve">prvku PTTravelDetails je uveden v</w:t>
      </w:r>
      <w:r w:rsidDel="00000000" w:rsidR="00000000" w:rsidRPr="00000000">
        <w:rPr>
          <w:color w:val="000000"/>
          <w:rtl w:val="0"/>
        </w:rPr>
        <w:t xml:space="preserve"> následující tabulce.</w:t>
      </w:r>
    </w:p>
    <w:p w:rsidR="00000000" w:rsidDel="00000000" w:rsidP="00000000" w:rsidRDefault="00000000" w:rsidRPr="00000000" w14:paraId="0000008D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sz w:val="18"/>
          <w:szCs w:val="18"/>
        </w:rPr>
      </w:pPr>
      <w:bookmarkStart w:colFirst="0" w:colLast="0" w:name="_heading=h.y0ayy7lgb8no" w:id="30"/>
      <w:bookmarkEnd w:id="30"/>
      <w:r w:rsidDel="00000000" w:rsidR="00000000" w:rsidRPr="00000000">
        <w:rPr>
          <w:sz w:val="18"/>
          <w:szCs w:val="18"/>
          <w:rtl w:val="0"/>
        </w:rPr>
        <w:t xml:space="preserve">Tabulka 4 - Příklad pseudokódu binární specifikace </w:t>
      </w:r>
      <w:r w:rsidDel="00000000" w:rsidR="00000000" w:rsidRPr="00000000">
        <w:rPr>
          <w:sz w:val="18"/>
          <w:szCs w:val="18"/>
          <w:u w:val="single"/>
          <w:rtl w:val="0"/>
        </w:rPr>
        <w:t xml:space="preserve">prvku</w:t>
      </w:r>
      <w:r w:rsidDel="00000000" w:rsidR="00000000" w:rsidRPr="00000000">
        <w:rPr>
          <w:sz w:val="18"/>
          <w:szCs w:val="18"/>
          <w:rtl w:val="0"/>
        </w:rPr>
        <w:t xml:space="preserve"> PTTravelDetails (článek A.1.10 normy)</w:t>
      </w:r>
    </w:p>
    <w:tbl>
      <w:tblPr>
        <w:tblStyle w:val="Table5"/>
        <w:tblW w:w="9285.0" w:type="dxa"/>
        <w:jc w:val="left"/>
        <w:tblInd w:w="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540"/>
        <w:gridCol w:w="5745"/>
        <w:tblGridChange w:id="0">
          <w:tblGrid>
            <w:gridCol w:w="3540"/>
            <w:gridCol w:w="574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&lt;PTTravelDetails(11)&lt;SegmentDetails(11)&gt;&gt;:=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&lt;</w:t>
            </w:r>
            <w:r w:rsidDel="00000000" w:rsidR="00000000" w:rsidRPr="00000000">
              <w:rPr>
                <w:b w:val="1"/>
                <w:color w:val="000000"/>
                <w:rtl w:val="0"/>
              </w:rPr>
              <w:t xml:space="preserve">IntUnTi</w:t>
            </w:r>
            <w:r w:rsidDel="00000000" w:rsidR="00000000" w:rsidRPr="00000000">
              <w:rPr>
                <w:color w:val="000000"/>
                <w:rtl w:val="0"/>
              </w:rPr>
              <w:t xml:space="preserve">&gt;(11),</w:t>
            </w:r>
          </w:p>
        </w:tc>
        <w:tc>
          <w:tcPr/>
          <w:p w:rsidR="00000000" w:rsidDel="00000000" w:rsidP="00000000" w:rsidRDefault="00000000" w:rsidRPr="00000000" w14:paraId="0000009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: Id této komponenty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&lt;</w:t>
            </w:r>
            <w:r w:rsidDel="00000000" w:rsidR="00000000" w:rsidRPr="00000000">
              <w:rPr>
                <w:b w:val="1"/>
                <w:color w:val="000000"/>
                <w:rtl w:val="0"/>
              </w:rPr>
              <w:t xml:space="preserve">IntUnLoMB</w:t>
            </w:r>
            <w:r w:rsidDel="00000000" w:rsidR="00000000" w:rsidRPr="00000000">
              <w:rPr>
                <w:color w:val="000000"/>
                <w:rtl w:val="0"/>
              </w:rPr>
              <w:t xml:space="preserve">&gt;(lengthComp),</w:t>
            </w:r>
          </w:p>
        </w:tc>
        <w:tc>
          <w:tcPr/>
          <w:p w:rsidR="00000000" w:rsidDel="00000000" w:rsidP="00000000" w:rsidRDefault="00000000" w:rsidRPr="00000000" w14:paraId="0000009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: Počet bajtů v komponentě, kromě indikátorů id a lengthComp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&lt;</w:t>
            </w:r>
            <w:r w:rsidDel="00000000" w:rsidR="00000000" w:rsidRPr="00000000">
              <w:rPr>
                <w:b w:val="1"/>
                <w:color w:val="000000"/>
                <w:rtl w:val="0"/>
              </w:rPr>
              <w:t xml:space="preserve">IntUnLoMB</w:t>
            </w:r>
            <w:r w:rsidDel="00000000" w:rsidR="00000000" w:rsidRPr="00000000">
              <w:rPr>
                <w:color w:val="000000"/>
                <w:rtl w:val="0"/>
              </w:rPr>
              <w:t xml:space="preserve">&gt;(lengthAttr),</w:t>
            </w:r>
          </w:p>
        </w:tc>
        <w:tc>
          <w:tcPr/>
          <w:p w:rsidR="00000000" w:rsidDel="00000000" w:rsidP="00000000" w:rsidRDefault="00000000" w:rsidRPr="00000000" w14:paraId="0000009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/>
            </w:pPr>
            <w:r w:rsidDel="00000000" w:rsidR="00000000" w:rsidRPr="00000000">
              <w:rPr>
                <w:rtl w:val="0"/>
              </w:rPr>
              <w:t xml:space="preserve">: Počet bajtů v atributech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BitArray(selector),</w:t>
            </w:r>
          </w:p>
        </w:tc>
        <w:tc>
          <w:tcPr/>
          <w:p w:rsidR="00000000" w:rsidDel="00000000" w:rsidP="00000000" w:rsidRDefault="00000000" w:rsidRPr="00000000" w14:paraId="0000009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if (bit 0 of selector is set)</w:t>
            </w:r>
          </w:p>
        </w:tc>
        <w:tc>
          <w:tcPr/>
          <w:p w:rsidR="00000000" w:rsidDel="00000000" w:rsidP="00000000" w:rsidRDefault="00000000" w:rsidRPr="00000000" w14:paraId="0000009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&lt;LocalisedShortString&gt;</w:t>
            </w:r>
            <w:r w:rsidDel="00000000" w:rsidR="00000000" w:rsidRPr="00000000">
              <w:rPr>
                <w:rtl w:val="0"/>
              </w:rPr>
              <w:t xml:space="preserve">(originStation)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: název počáteční zastávky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if (bit 1 of selector is set)</w:t>
            </w:r>
          </w:p>
        </w:tc>
        <w:tc>
          <w:tcPr/>
          <w:p w:rsidR="00000000" w:rsidDel="00000000" w:rsidP="00000000" w:rsidRDefault="00000000" w:rsidRPr="00000000" w14:paraId="0000009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&lt;</w:t>
            </w:r>
            <w:r w:rsidDel="00000000" w:rsidR="00000000" w:rsidRPr="00000000">
              <w:rPr>
                <w:b w:val="1"/>
                <w:rtl w:val="0"/>
              </w:rPr>
              <w:t xml:space="preserve">LocalisedShortString</w:t>
            </w:r>
            <w:r w:rsidDel="00000000" w:rsidR="00000000" w:rsidRPr="00000000">
              <w:rPr>
                <w:rtl w:val="0"/>
              </w:rPr>
              <w:t xml:space="preserve">&gt;(destinationStation),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: název koncové zastávky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if (bit 2 of selector is set)</w:t>
            </w:r>
          </w:p>
        </w:tc>
        <w:tc>
          <w:tcPr/>
          <w:p w:rsidR="00000000" w:rsidDel="00000000" w:rsidP="00000000" w:rsidRDefault="00000000" w:rsidRPr="00000000" w14:paraId="000000A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&lt;rmr007:AccessType&gt;(accessType);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: Typ přístupu (např. rampa, schody, výtah atd.); důležité zejména pro osoby s omezenou pohyblivostí.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b w:val="1"/>
          <w:color w:val="000000"/>
          <w:sz w:val="22"/>
          <w:szCs w:val="22"/>
        </w:rPr>
      </w:pP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Příloha B (normativní) TPEG-ML reprezentace </w:t>
      </w:r>
      <w:r w:rsidDel="00000000" w:rsidR="00000000" w:rsidRPr="00000000">
        <w:rPr>
          <w:b w:val="1"/>
          <w:sz w:val="22"/>
          <w:szCs w:val="22"/>
          <w:rtl w:val="0"/>
        </w:rPr>
        <w:t xml:space="preserve">RMR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příloha (rozsah </w:t>
      </w:r>
      <w:r w:rsidDel="00000000" w:rsidR="00000000" w:rsidRPr="00000000">
        <w:rPr>
          <w:rtl w:val="0"/>
        </w:rPr>
        <w:t xml:space="preserve">20</w:t>
      </w:r>
      <w:r w:rsidDel="00000000" w:rsidR="00000000" w:rsidRPr="00000000">
        <w:rPr>
          <w:color w:val="000000"/>
          <w:rtl w:val="0"/>
        </w:rPr>
        <w:t xml:space="preserve"> stran) obsahuje nejprve </w:t>
      </w:r>
      <w:r w:rsidDel="00000000" w:rsidR="00000000" w:rsidRPr="00000000">
        <w:rPr>
          <w:color w:val="000000"/>
          <w:u w:val="single"/>
          <w:rtl w:val="0"/>
        </w:rPr>
        <w:t xml:space="preserve">samostatně uvedené</w:t>
      </w:r>
      <w:r w:rsidDel="00000000" w:rsidR="00000000" w:rsidRPr="00000000">
        <w:rPr>
          <w:color w:val="000000"/>
          <w:rtl w:val="0"/>
        </w:rPr>
        <w:t xml:space="preserve"> XML schéma rámce TPEG, dále zprávy </w:t>
      </w:r>
      <w:r w:rsidDel="00000000" w:rsidR="00000000" w:rsidRPr="00000000">
        <w:rPr>
          <w:rtl w:val="0"/>
        </w:rPr>
        <w:t xml:space="preserve">RMR</w:t>
      </w:r>
      <w:r w:rsidDel="00000000" w:rsidR="00000000" w:rsidRPr="00000000">
        <w:rPr>
          <w:color w:val="000000"/>
          <w:rtl w:val="0"/>
        </w:rPr>
        <w:t xml:space="preserve"> a jejích součástí, prvků určených pro budoucí rozšíření, datových typů a tabulek </w:t>
      </w:r>
      <w:r w:rsidDel="00000000" w:rsidR="00000000" w:rsidRPr="00000000">
        <w:rPr>
          <w:rtl w:val="0"/>
        </w:rPr>
        <w:t xml:space="preserve">RMR</w:t>
      </w:r>
      <w:r w:rsidDel="00000000" w:rsidR="00000000" w:rsidRPr="00000000">
        <w:rPr>
          <w:color w:val="000000"/>
          <w:rtl w:val="0"/>
        </w:rPr>
        <w:t xml:space="preserve"> (definovaných jako xs:complexType), viz příklad na obrázku níže. Následně uvádí vše výše zmíněné v jednom funkčním XML schématu. </w:t>
      </w:r>
    </w:p>
    <w:tbl>
      <w:tblPr>
        <w:tblStyle w:val="Table6"/>
        <w:tblW w:w="9212.0" w:type="dxa"/>
        <w:jc w:val="left"/>
        <w:tblInd w:w="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212"/>
        <w:tblGridChange w:id="0">
          <w:tblGrid>
            <w:gridCol w:w="9212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2cc" w:val="clear"/>
              <w:tabs>
                <w:tab w:val="left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&lt;xs:complexType name="SegmentLocation"&gt; </w:t>
            </w:r>
          </w:p>
          <w:p w:rsidR="00000000" w:rsidDel="00000000" w:rsidP="00000000" w:rsidRDefault="00000000" w:rsidRPr="00000000" w14:paraId="000000A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2cc" w:val="clear"/>
              <w:tabs>
                <w:tab w:val="left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 &lt;xs:sequence&gt; </w:t>
            </w:r>
          </w:p>
          <w:p w:rsidR="00000000" w:rsidDel="00000000" w:rsidP="00000000" w:rsidRDefault="00000000" w:rsidRPr="00000000" w14:paraId="000000A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2cc" w:val="clear"/>
              <w:tabs>
                <w:tab w:val="left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 &lt;xs:element name="streetName" type="tdt:LocalisedShortString" minOccurs="0"/&gt; </w:t>
            </w:r>
          </w:p>
          <w:p w:rsidR="00000000" w:rsidDel="00000000" w:rsidP="00000000" w:rsidRDefault="00000000" w:rsidRPr="00000000" w14:paraId="000000A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2cc" w:val="clear"/>
              <w:tabs>
                <w:tab w:val="left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 &lt;xs:element name="heading" type="tdt:IntUnTi" minOccurs="0"/&gt; </w:t>
            </w:r>
          </w:p>
          <w:p w:rsidR="00000000" w:rsidDel="00000000" w:rsidP="00000000" w:rsidRDefault="00000000" w:rsidRPr="00000000" w14:paraId="000000A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2cc" w:val="clear"/>
              <w:tabs>
                <w:tab w:val="left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 &lt;xs:element name="locRef" type="lrc:LocationReferencingContainer" minOccurs="0"/&gt; </w:t>
            </w:r>
          </w:p>
          <w:p w:rsidR="00000000" w:rsidDel="00000000" w:rsidP="00000000" w:rsidRDefault="00000000" w:rsidRPr="00000000" w14:paraId="000000A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2cc" w:val="clear"/>
              <w:tabs>
                <w:tab w:val="left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 &lt;/xs:sequence&gt; </w:t>
            </w:r>
          </w:p>
          <w:p w:rsidR="00000000" w:rsidDel="00000000" w:rsidP="00000000" w:rsidRDefault="00000000" w:rsidRPr="00000000" w14:paraId="000000A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2cc" w:val="clear"/>
              <w:tabs>
                <w:tab w:val="left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&lt;/xs:complexType&gt;</w:t>
            </w:r>
          </w:p>
        </w:tc>
      </w:tr>
    </w:tbl>
    <w:p w:rsidR="00000000" w:rsidDel="00000000" w:rsidP="00000000" w:rsidRDefault="00000000" w:rsidRPr="00000000" w14:paraId="000000A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Rule="auto"/>
        <w:ind w:left="0" w:hanging="2"/>
        <w:jc w:val="center"/>
        <w:rPr>
          <w:color w:val="000000"/>
        </w:rPr>
      </w:pPr>
      <w:r w:rsidDel="00000000" w:rsidR="00000000" w:rsidRPr="00000000">
        <w:rPr>
          <w:color w:val="000000"/>
          <w:sz w:val="18"/>
          <w:szCs w:val="18"/>
          <w:rtl w:val="0"/>
        </w:rPr>
        <w:t xml:space="preserve">Obrázek 4 - Výstřižek schématu XSD stanovujícího strukturu </w:t>
      </w:r>
      <w:r w:rsidDel="00000000" w:rsidR="00000000" w:rsidRPr="00000000">
        <w:rPr>
          <w:sz w:val="18"/>
          <w:szCs w:val="18"/>
          <w:rtl w:val="0"/>
        </w:rPr>
        <w:t xml:space="preserve">prvku</w:t>
      </w:r>
      <w:r w:rsidDel="00000000" w:rsidR="00000000" w:rsidRPr="00000000">
        <w:rPr>
          <w:color w:val="000000"/>
          <w:sz w:val="18"/>
          <w:szCs w:val="18"/>
          <w:rtl w:val="0"/>
        </w:rPr>
        <w:t xml:space="preserve"> </w:t>
      </w:r>
      <w:r w:rsidDel="00000000" w:rsidR="00000000" w:rsidRPr="00000000">
        <w:rPr>
          <w:sz w:val="18"/>
          <w:szCs w:val="18"/>
          <w:rtl w:val="0"/>
        </w:rPr>
        <w:t xml:space="preserve">SegmentLocation (článek B.1.5 normy)</w:t>
      </w:r>
      <w:r w:rsidDel="00000000" w:rsidR="00000000" w:rsidRPr="00000000">
        <w:rPr>
          <w:rtl w:val="0"/>
        </w:rPr>
      </w:r>
    </w:p>
    <w:sectPr>
      <w:footerReference r:id="rId14" w:type="default"/>
      <w:pgSz w:h="16838" w:w="11906" w:orient="portrait"/>
      <w:pgMar w:bottom="1497" w:top="1417" w:left="1417" w:right="1417" w:header="708" w:footer="144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Georgia"/>
  <w:font w:name="Times New Roman"/>
  <w:font w:name="Courier New"/>
  <w:font w:name="Noto Sans Symbol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AF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ind w:left="0" w:hanging="2"/>
      <w:rPr>
        <w:color w:val="000000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899795</wp:posOffset>
          </wp:positionH>
          <wp:positionV relativeFrom="paragraph">
            <wp:posOffset>0</wp:posOffset>
          </wp:positionV>
          <wp:extent cx="75565" cy="145415"/>
          <wp:effectExtent b="0" l="0" r="0" t="0"/>
          <wp:wrapSquare wrapText="bothSides" distB="0" distT="0" distL="114300" distR="114300"/>
          <wp:docPr id="1042" name="image3.png"/>
          <a:graphic>
            <a:graphicData uri="http://schemas.openxmlformats.org/drawingml/2006/picture">
              <pic:pic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5565" cy="145415"/>
                  </a:xfrm>
                  <a:prstGeom prst="rect"/>
                  <a:ln/>
                </pic:spPr>
              </pic:pic>
            </a:graphicData>
          </a:graphic>
        </wp:anchor>
      </w:drawing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7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90" w:hanging="360"/>
      </w:pPr>
      <w:rPr>
        <w:rFonts w:ascii="Courier New" w:cs="Courier New" w:eastAsia="Courier New" w:hAnsi="Courier New"/>
        <w:u w:val="none"/>
        <w:vertAlign w:val="baseline"/>
      </w:rPr>
    </w:lvl>
    <w:lvl w:ilvl="2">
      <w:start w:val="1"/>
      <w:numFmt w:val="bullet"/>
      <w:lvlText w:val="▪"/>
      <w:lvlJc w:val="left"/>
      <w:pPr>
        <w:ind w:left="221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93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50" w:hanging="360"/>
      </w:pPr>
      <w:rPr>
        <w:rFonts w:ascii="Courier New" w:cs="Courier New" w:eastAsia="Courier New" w:hAnsi="Courier New"/>
        <w:u w:val="none"/>
        <w:vertAlign w:val="baseline"/>
      </w:rPr>
    </w:lvl>
    <w:lvl w:ilvl="5">
      <w:start w:val="1"/>
      <w:numFmt w:val="bullet"/>
      <w:lvlText w:val="▪"/>
      <w:lvlJc w:val="left"/>
      <w:pPr>
        <w:ind w:left="437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9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810" w:hanging="360"/>
      </w:pPr>
      <w:rPr>
        <w:rFonts w:ascii="Courier New" w:cs="Courier New" w:eastAsia="Courier New" w:hAnsi="Courier New"/>
        <w:u w:val="none"/>
        <w:vertAlign w:val="baseline"/>
      </w:rPr>
    </w:lvl>
    <w:lvl w:ilvl="8">
      <w:start w:val="1"/>
      <w:numFmt w:val="bullet"/>
      <w:lvlText w:val="▪"/>
      <w:lvlJc w:val="left"/>
      <w:pPr>
        <w:ind w:left="6530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cs-CZ"/>
      </w:rPr>
    </w:rPrDefault>
    <w:pPrDefault>
      <w:pPr>
        <w:spacing w:after="120" w:line="276" w:lineRule="auto"/>
        <w:ind w:hanging="1"/>
        <w:jc w:val="both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60" w:before="200" w:lineRule="auto"/>
    </w:pPr>
    <w:rPr>
      <w:b w:val="1"/>
      <w:color w:val="000000"/>
      <w:sz w:val="22"/>
      <w:szCs w:val="22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color w:val="000000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color w:val="000000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color w:val="000000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color w:val="000000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color w:val="000000"/>
    </w:rPr>
  </w:style>
  <w:style w:type="paragraph" w:styleId="Title">
    <w:name w:val="Title"/>
    <w:basedOn w:val="Normal"/>
    <w:next w:val="Normal"/>
    <w:pPr>
      <w:keepNext w:val="1"/>
      <w:keepLines w:val="1"/>
      <w:widowControl w:val="0"/>
      <w:tabs>
        <w:tab w:val="left" w:pos="7080"/>
        <w:tab w:val="right" w:pos="9923"/>
      </w:tabs>
      <w:spacing w:after="60" w:lineRule="auto"/>
      <w:jc w:val="center"/>
    </w:pPr>
    <w:rPr>
      <w:b w:val="1"/>
      <w:color w:val="000000"/>
      <w:sz w:val="40"/>
      <w:szCs w:val="40"/>
    </w:rPr>
  </w:style>
  <w:style w:type="paragraph" w:styleId="Normln" w:default="1">
    <w:name w:val="Normal"/>
    <w:pPr>
      <w:ind w:left="-1" w:leftChars="-1" w:hanging="1" w:hangingChars="1"/>
      <w:textDirection w:val="btLr"/>
      <w:textAlignment w:val="top"/>
      <w:outlineLvl w:val="0"/>
    </w:pPr>
    <w:rPr>
      <w:position w:val="-1"/>
      <w:lang w:bidi="hi-IN" w:eastAsia="hi-IN"/>
    </w:rPr>
  </w:style>
  <w:style w:type="paragraph" w:styleId="Nadpis1">
    <w:name w:val="heading 1"/>
    <w:basedOn w:val="Normln"/>
    <w:next w:val="Zkladntext"/>
    <w:pPr>
      <w:keepNext w:val="1"/>
      <w:keepLines w:val="1"/>
      <w:spacing w:after="60" w:before="200"/>
    </w:pPr>
    <w:rPr>
      <w:b w:val="1"/>
      <w:color w:val="000000"/>
      <w:sz w:val="22"/>
      <w:szCs w:val="22"/>
    </w:rPr>
  </w:style>
  <w:style w:type="paragraph" w:styleId="Nadpis2">
    <w:name w:val="heading 2"/>
    <w:basedOn w:val="Normln"/>
    <w:next w:val="Zkladntext"/>
    <w:pPr>
      <w:keepNext w:val="1"/>
      <w:keepLines w:val="1"/>
      <w:spacing w:after="80" w:before="360"/>
      <w:outlineLvl w:val="1"/>
    </w:pPr>
    <w:rPr>
      <w:b w:val="1"/>
      <w:color w:val="000000"/>
      <w:sz w:val="36"/>
      <w:szCs w:val="36"/>
    </w:rPr>
  </w:style>
  <w:style w:type="paragraph" w:styleId="Nadpis3">
    <w:name w:val="heading 3"/>
    <w:basedOn w:val="Normln"/>
    <w:next w:val="Zkladntext"/>
    <w:pPr>
      <w:keepNext w:val="1"/>
      <w:keepLines w:val="1"/>
      <w:spacing w:after="80" w:before="280"/>
      <w:outlineLvl w:val="2"/>
    </w:pPr>
    <w:rPr>
      <w:b w:val="1"/>
      <w:color w:val="000000"/>
      <w:sz w:val="28"/>
      <w:szCs w:val="28"/>
    </w:rPr>
  </w:style>
  <w:style w:type="paragraph" w:styleId="Nadpis4">
    <w:name w:val="heading 4"/>
    <w:basedOn w:val="Normln"/>
    <w:next w:val="Zkladntext"/>
    <w:pPr>
      <w:keepNext w:val="1"/>
      <w:keepLines w:val="1"/>
      <w:spacing w:after="40" w:before="240"/>
      <w:outlineLvl w:val="3"/>
    </w:pPr>
    <w:rPr>
      <w:b w:val="1"/>
      <w:color w:val="000000"/>
      <w:sz w:val="24"/>
      <w:szCs w:val="24"/>
    </w:rPr>
  </w:style>
  <w:style w:type="paragraph" w:styleId="Nadpis5">
    <w:name w:val="heading 5"/>
    <w:basedOn w:val="Normln"/>
    <w:next w:val="Zkladntext"/>
    <w:pPr>
      <w:keepNext w:val="1"/>
      <w:keepLines w:val="1"/>
      <w:spacing w:after="40" w:before="220"/>
      <w:outlineLvl w:val="4"/>
    </w:pPr>
    <w:rPr>
      <w:b w:val="1"/>
      <w:color w:val="000000"/>
      <w:sz w:val="22"/>
      <w:szCs w:val="22"/>
    </w:rPr>
  </w:style>
  <w:style w:type="paragraph" w:styleId="Nadpis6">
    <w:name w:val="heading 6"/>
    <w:basedOn w:val="Normln"/>
    <w:next w:val="Zkladntext"/>
    <w:pPr>
      <w:keepNext w:val="1"/>
      <w:keepLines w:val="1"/>
      <w:spacing w:after="40" w:before="200"/>
      <w:outlineLvl w:val="5"/>
    </w:pPr>
    <w:rPr>
      <w:b w:val="1"/>
      <w:color w:val="000000"/>
    </w:rPr>
  </w:style>
  <w:style w:type="character" w:styleId="Standardnpsmoodstavce" w:default="1">
    <w:name w:val="Default Paragraph Font"/>
    <w:uiPriority w:val="1"/>
    <w:semiHidden w:val="1"/>
    <w:unhideWhenUsed w:val="1"/>
  </w:style>
  <w:style w:type="table" w:styleId="Normlntabulka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Bezseznamu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Nzev">
    <w:name w:val="Title"/>
    <w:basedOn w:val="Normln"/>
    <w:next w:val="Podnadpis"/>
    <w:pPr>
      <w:keepNext w:val="1"/>
      <w:keepLines w:val="1"/>
      <w:widowControl w:val="0"/>
      <w:tabs>
        <w:tab w:val="left" w:pos="7080"/>
        <w:tab w:val="right" w:pos="9923"/>
      </w:tabs>
      <w:spacing w:after="60" w:line="100" w:lineRule="atLeast"/>
      <w:jc w:val="center"/>
    </w:pPr>
    <w:rPr>
      <w:b w:val="1"/>
      <w:bCs w:val="1"/>
      <w:color w:val="000000"/>
      <w:sz w:val="40"/>
      <w:szCs w:val="40"/>
    </w:rPr>
  </w:style>
  <w:style w:type="table" w:styleId="TableNormal0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character" w:styleId="ListLabel1" w:customStyle="1">
    <w:name w:val="ListLabel 1"/>
    <w:rPr>
      <w:w w:val="100"/>
      <w:position w:val="-1"/>
      <w:u w:val="none"/>
      <w:effect w:val="none"/>
      <w:vertAlign w:val="baseline"/>
      <w:cs w:val="0"/>
      <w:em w:val="none"/>
    </w:rPr>
  </w:style>
  <w:style w:type="character" w:styleId="Odrky" w:customStyle="1">
    <w:name w:val="Odrážky"/>
    <w:rPr>
      <w:rFonts w:ascii="OpenSymbol" w:cs="OpenSymbol" w:eastAsia="OpenSymbol" w:hAnsi="OpenSymbol"/>
      <w:w w:val="100"/>
      <w:position w:val="-1"/>
      <w:effect w:val="none"/>
      <w:vertAlign w:val="baseline"/>
      <w:cs w:val="0"/>
      <w:em w:val="none"/>
    </w:rPr>
  </w:style>
  <w:style w:type="paragraph" w:styleId="Nadpis" w:customStyle="1">
    <w:name w:val="Nadpis"/>
    <w:basedOn w:val="Normln"/>
    <w:next w:val="Zkladntext"/>
    <w:pPr>
      <w:keepNext w:val="1"/>
      <w:spacing w:before="240"/>
    </w:pPr>
    <w:rPr>
      <w:rFonts w:cs="Lucida Sans" w:eastAsia="Microsoft YaHei"/>
      <w:color w:val="000000"/>
      <w:sz w:val="28"/>
      <w:szCs w:val="28"/>
    </w:rPr>
  </w:style>
  <w:style w:type="paragraph" w:styleId="Zkladntext">
    <w:name w:val="Body Text"/>
    <w:basedOn w:val="Normln"/>
    <w:rPr>
      <w:color w:val="000000"/>
    </w:rPr>
  </w:style>
  <w:style w:type="paragraph" w:styleId="Seznam">
    <w:name w:val="List"/>
    <w:basedOn w:val="Zkladntext"/>
    <w:rPr>
      <w:rFonts w:cs="Lucida Sans"/>
    </w:rPr>
  </w:style>
  <w:style w:type="paragraph" w:styleId="Popisek" w:customStyle="1">
    <w:name w:val="Popisek"/>
    <w:basedOn w:val="Normln"/>
    <w:pPr>
      <w:suppressLineNumbers w:val="1"/>
      <w:spacing w:before="120"/>
    </w:pPr>
    <w:rPr>
      <w:rFonts w:cs="Lucida Sans"/>
      <w:i w:val="1"/>
      <w:iCs w:val="1"/>
      <w:color w:val="000000"/>
      <w:sz w:val="24"/>
      <w:szCs w:val="24"/>
    </w:rPr>
  </w:style>
  <w:style w:type="paragraph" w:styleId="Rejstk" w:customStyle="1">
    <w:name w:val="Rejstřík"/>
    <w:basedOn w:val="Normln"/>
    <w:pPr>
      <w:suppressLineNumbers w:val="1"/>
    </w:pPr>
    <w:rPr>
      <w:rFonts w:cs="Lucida Sans"/>
      <w:color w:val="000000"/>
    </w:rPr>
  </w:style>
  <w:style w:type="paragraph" w:styleId="Podnadpis" w:customStyle="1">
    <w:name w:val="Podnadpis"/>
    <w:basedOn w:val="Normln"/>
    <w:next w:val="Zkladntext"/>
    <w:pPr>
      <w:keepNext w:val="1"/>
      <w:keepLines w:val="1"/>
      <w:spacing w:after="0" w:before="180" w:line="100" w:lineRule="atLeast"/>
      <w:jc w:val="left"/>
    </w:pPr>
    <w:rPr>
      <w:b w:val="1"/>
      <w:i w:val="1"/>
      <w:iCs w:val="1"/>
      <w:color w:val="000000"/>
      <w:sz w:val="32"/>
      <w:szCs w:val="32"/>
    </w:rPr>
  </w:style>
  <w:style w:type="paragraph" w:styleId="Zpat">
    <w:name w:val="footer"/>
    <w:basedOn w:val="Normln"/>
    <w:pPr>
      <w:suppressLineNumbers w:val="1"/>
      <w:tabs>
        <w:tab w:val="center" w:pos="4819"/>
        <w:tab w:val="right" w:pos="9638"/>
      </w:tabs>
    </w:pPr>
    <w:rPr>
      <w:color w:val="000000"/>
    </w:rPr>
  </w:style>
  <w:style w:type="paragraph" w:styleId="Odstavecseseznamem">
    <w:name w:val="List Paragraph"/>
    <w:basedOn w:val="Normln"/>
    <w:pPr>
      <w:ind w:left="720" w:firstLine="0"/>
    </w:pPr>
    <w:rPr>
      <w:color w:val="000000"/>
    </w:rPr>
  </w:style>
  <w:style w:type="paragraph" w:styleId="Titulek">
    <w:name w:val="caption"/>
    <w:basedOn w:val="Normln"/>
    <w:next w:val="Normln"/>
    <w:pPr>
      <w:spacing w:after="200" w:line="100" w:lineRule="atLeast"/>
      <w:jc w:val="center"/>
    </w:pPr>
    <w:rPr>
      <w:bCs w:val="1"/>
      <w:color w:val="000000"/>
      <w:sz w:val="18"/>
      <w:szCs w:val="18"/>
    </w:rPr>
  </w:style>
  <w:style w:type="paragraph" w:styleId="Obsahtabulky" w:customStyle="1">
    <w:name w:val="Obsah tabulky"/>
    <w:basedOn w:val="Normln"/>
    <w:pPr>
      <w:suppressLineNumbers w:val="1"/>
    </w:pPr>
    <w:rPr>
      <w:color w:val="000000"/>
    </w:rPr>
  </w:style>
  <w:style w:type="paragraph" w:styleId="Normlnweb">
    <w:name w:val="Normal (Web)"/>
    <w:basedOn w:val="Normln"/>
    <w:qFormat w:val="1"/>
    <w:pPr>
      <w:suppressAutoHyphens w:val="1"/>
      <w:spacing w:after="100" w:afterAutospacing="1" w:before="100" w:beforeAutospacing="1" w:line="240" w:lineRule="auto"/>
      <w:jc w:val="left"/>
    </w:pPr>
    <w:rPr>
      <w:rFonts w:ascii="Times New Roman" w:cs="Times New Roman" w:eastAsia="Times New Roman" w:hAnsi="Times New Roman"/>
      <w:sz w:val="24"/>
      <w:szCs w:val="24"/>
      <w:lang w:bidi="ar-SA" w:eastAsia="cs-CZ"/>
    </w:rPr>
  </w:style>
  <w:style w:type="table" w:styleId="Mkatabulky">
    <w:name w:val="Table Grid"/>
    <w:basedOn w:val="Normlntabulka"/>
    <w:pPr>
      <w:suppressAutoHyphens w:val="1"/>
      <w:spacing w:line="1" w:lineRule="atLeast"/>
      <w:ind w:left="-1" w:leftChars="-1" w:hanging="1" w:hangingChars="1"/>
      <w:textDirection w:val="btLr"/>
      <w:textAlignment w:val="top"/>
      <w:outlineLvl w:val="0"/>
    </w:pPr>
    <w:rPr>
      <w:position w:val="-1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Podtitul">
    <w:name w:val="Subtitle"/>
    <w:basedOn w:val="Normln"/>
    <w:next w:val="Normln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a" w:customStyle="1">
    <w:basedOn w:val="TableNormal0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0" w:customStyle="1">
    <w:basedOn w:val="TableNormal0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1" w:customStyle="1">
    <w:basedOn w:val="TableNormal0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2" w:customStyle="1">
    <w:basedOn w:val="TableNormal0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3" w:customStyle="1">
    <w:basedOn w:val="TableNormal0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4" w:customStyle="1">
    <w:basedOn w:val="TableNormal0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5" w:customStyle="1">
    <w:basedOn w:val="TableNormal0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6" w:customStyle="1">
    <w:basedOn w:val="TableNormal0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7" w:customStyle="1">
    <w:basedOn w:val="TableNormal0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8" w:customStyle="1">
    <w:basedOn w:val="TableNormal0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9" w:customStyle="1">
    <w:basedOn w:val="TableNormal0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a" w:customStyle="1">
    <w:basedOn w:val="TableNormal0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Textkomente">
    <w:name w:val="annotation text"/>
    <w:basedOn w:val="Normln"/>
    <w:link w:val="TextkomenteChar"/>
    <w:uiPriority w:val="99"/>
    <w:semiHidden w:val="1"/>
    <w:unhideWhenUsed w:val="1"/>
    <w:pPr>
      <w:spacing w:line="240" w:lineRule="auto"/>
    </w:pPr>
    <w:rPr>
      <w:rFonts w:cs="Mangal"/>
      <w:szCs w:val="18"/>
    </w:rPr>
  </w:style>
  <w:style w:type="character" w:styleId="TextkomenteChar" w:customStyle="1">
    <w:name w:val="Text komentáře Char"/>
    <w:basedOn w:val="Standardnpsmoodstavce"/>
    <w:link w:val="Textkomente"/>
    <w:uiPriority w:val="99"/>
    <w:semiHidden w:val="1"/>
    <w:rPr>
      <w:rFonts w:cs="Mangal"/>
      <w:position w:val="-1"/>
      <w:szCs w:val="18"/>
      <w:lang w:bidi="hi-IN" w:eastAsia="hi-IN"/>
    </w:rPr>
  </w:style>
  <w:style w:type="character" w:styleId="Odkaznakoment">
    <w:name w:val="annotation reference"/>
    <w:basedOn w:val="Standardnpsmoodstavce"/>
    <w:uiPriority w:val="99"/>
    <w:semiHidden w:val="1"/>
    <w:unhideWhenUsed w:val="1"/>
    <w:rPr>
      <w:sz w:val="16"/>
      <w:szCs w:val="16"/>
    </w:rPr>
  </w:style>
  <w:style w:type="paragraph" w:styleId="Textbubliny">
    <w:name w:val="Balloon Text"/>
    <w:basedOn w:val="Normln"/>
    <w:link w:val="TextbublinyChar"/>
    <w:uiPriority w:val="99"/>
    <w:semiHidden w:val="1"/>
    <w:unhideWhenUsed w:val="1"/>
    <w:rsid w:val="002524C9"/>
    <w:pPr>
      <w:spacing w:after="0" w:line="240" w:lineRule="auto"/>
    </w:pPr>
    <w:rPr>
      <w:rFonts w:ascii="Tahoma" w:cs="Mangal" w:hAnsi="Tahoma"/>
      <w:sz w:val="16"/>
      <w:szCs w:val="14"/>
    </w:rPr>
  </w:style>
  <w:style w:type="character" w:styleId="TextbublinyChar" w:customStyle="1">
    <w:name w:val="Text bubliny Char"/>
    <w:basedOn w:val="Standardnpsmoodstavce"/>
    <w:link w:val="Textbubliny"/>
    <w:uiPriority w:val="99"/>
    <w:semiHidden w:val="1"/>
    <w:rsid w:val="002524C9"/>
    <w:rPr>
      <w:rFonts w:ascii="Tahoma" w:cs="Mangal" w:hAnsi="Tahoma"/>
      <w:position w:val="-1"/>
      <w:sz w:val="16"/>
      <w:szCs w:val="14"/>
      <w:lang w:bidi="hi-IN" w:eastAsia="hi-IN"/>
    </w:rPr>
  </w:style>
  <w:style w:type="paragraph" w:styleId="1StrNN-X" w:customStyle="1">
    <w:name w:val="1StrNN-X"/>
    <w:basedOn w:val="Normln"/>
    <w:rsid w:val="002524C9"/>
    <w:pPr>
      <w:widowControl w:val="0"/>
      <w:suppressAutoHyphens w:val="1"/>
      <w:spacing w:after="180" w:before="180" w:line="340" w:lineRule="exact"/>
      <w:ind w:left="0" w:right="567" w:leftChars="0" w:firstLine="0" w:firstLineChars="0"/>
      <w:jc w:val="left"/>
      <w:textDirection w:val="lrTb"/>
      <w:textAlignment w:val="auto"/>
      <w:outlineLvl w:val="9"/>
    </w:pPr>
    <w:rPr>
      <w:b w:val="1"/>
      <w:position w:val="0"/>
      <w:sz w:val="28"/>
      <w:lang w:bidi="ar-SA" w:eastAsia="cs-CZ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hyperlink" Target="http://www.itsterminology.org" TargetMode="External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9" Type="http://schemas.openxmlformats.org/officeDocument/2006/relationships/image" Target="media/image3.png"/><Relationship Id="rId1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7phytZgruX5VJQTf3MFuTTTYqCQ==">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2021-03-11T08:43:00Z</dcterms:created>
  <dc:creator>Petr Bureš</dc:creator>
</cp:coreProperties>
</file>