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0"/>
          <w:tab w:val="right" w:leader="none" w:pos="9923"/>
        </w:tabs>
        <w:spacing w:after="60" w:lineRule="auto"/>
        <w:ind w:left="2" w:hanging="4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-449576</wp:posOffset>
            </wp:positionV>
            <wp:extent cx="75565" cy="151765"/>
            <wp:effectExtent b="0" l="0" r="0" t="0"/>
            <wp:wrapSquare wrapText="bothSides" distB="0" distT="0" distL="114300" distR="114300"/>
            <wp:docPr id="10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before="180" w:line="340" w:lineRule="auto"/>
              <w:ind w:left="1" w:right="567" w:hanging="3"/>
              <w:jc w:val="left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b7ixhhvdct0t" w:id="2"/>
            <w:bookmarkEnd w:id="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Inteligentní dopravní systémy –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Dopravní a cestovní informace (TTI) v dopravním protokolu expertní skupiny, druhá generace (TPEG2) - Část 26: Informace o místech vyžadujících zvýšenou pozornost (TPEG2-VLI)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Vydána 2018, 23 stran</w:t>
      </w:r>
      <w:r w:rsidDel="00000000" w:rsidR="00000000" w:rsidRPr="00000000">
        <w:rPr>
          <w:sz w:val="28"/>
          <w:szCs w:val="28"/>
          <w:rtl w:val="0"/>
        </w:rPr>
        <w:t xml:space="preserve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hanging="2"/>
        <w:rPr/>
      </w:pPr>
      <w:bookmarkStart w:colFirst="0" w:colLast="0" w:name="_heading=h.k2jf97lkp7ge" w:id="4"/>
      <w:bookmarkEnd w:id="4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a jeho převodu do platformě závislé podoby. </w:t>
      </w:r>
    </w:p>
    <w:p w:rsidR="00000000" w:rsidDel="00000000" w:rsidP="00000000" w:rsidRDefault="00000000" w:rsidRPr="00000000" w14:paraId="0000000B">
      <w:pPr>
        <w:ind w:left="0" w:hanging="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  <w:t xml:space="preserve">Tento extrakt (dále jen “popisovaný dokument”) popisuje část 26 normy TPEG „Informace o místech vyžadujících zvýšenou pozornost (TPEG2-VLI)“, která specifikuje informační strukturu pro informování řidiče o místech kde má věnovat zvýšenou pozornost.</w:t>
      </w:r>
    </w:p>
    <w:p w:rsidR="00000000" w:rsidDel="00000000" w:rsidP="00000000" w:rsidRDefault="00000000" w:rsidRPr="00000000" w14:paraId="00000009">
      <w:pPr>
        <w:ind w:left="0" w:hanging="2"/>
        <w:rPr/>
      </w:pPr>
      <w:r>
        <w:rPr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 w14:paraId="0000000F">
      <w:pPr>
        <w:pStyle w:val="Heading1"/>
        <w:ind w:left="0" w:hanging="2"/>
        <w:rPr/>
      </w:pPr>
      <w:bookmarkStart w:colFirst="0" w:colLast="0" w:name="_heading=h.p5uplw5j229a" w:id="6"/>
      <w:bookmarkEnd w:id="6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ind w:left="0" w:hanging="2"/>
        <w:rPr/>
      </w:pPr>
      <w:bookmarkStart w:colFirst="0" w:colLast="0" w:name="_heading=h.8kdf5wup1at0" w:id="7"/>
      <w:bookmarkEnd w:id="7"/>
      <w:r w:rsidDel="00000000" w:rsidR="00000000" w:rsidRPr="00000000">
        <w:rPr>
          <w:rtl w:val="0"/>
        </w:rPr>
        <w:t xml:space="preserve">Popisovaný dokument stanovuje způsob poskytování informací o místech, kde je potřeba zvýšená pozornost řidiče. Je nezbytný pro analytiky poskytovatele služby informací o rychlostních limitech a pro analytiky výrobce uživatelského terminálu (aplikace), kteří mají na starost návrh datového modelu systému a návrh pravidel, se kterými systém pracuje. Použije se při návrhu systému. </w:t>
      </w:r>
    </w:p>
    <w:p w:rsidR="00000000" w:rsidDel="00000000" w:rsidP="00000000" w:rsidRDefault="00000000" w:rsidRPr="00000000" w14:paraId="00000013">
      <w:pPr>
        <w:pStyle w:val="Heading1"/>
        <w:ind w:left="0" w:hanging="2"/>
        <w:rPr/>
      </w:pPr>
      <w:r w:rsidDel="00000000" w:rsidR="00000000" w:rsidRPr="00000000">
        <w:rPr>
          <w:rtl w:val="0"/>
        </w:rPr>
        <w:t xml:space="preserve">1 Předmět normy</w:t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  <w:t xml:space="preserve">Tato technická specifikace je zaměřená na informování řidičů o úsecích pozemní komunikace, kde je zapotřebí jejich zvýšené pozornosti. Tyto úseky mohou být místa se zvýšenou nehodovostí, ale také místa s přítomností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dohledových systémů</w:t>
      </w:r>
      <w:r w:rsidDel="00000000" w:rsidR="00000000" w:rsidRPr="00000000">
        <w:rPr>
          <w:rtl w:val="0"/>
        </w:rPr>
        <w:t xml:space="preserve">. Při uplatňování / používání této normy je nutné dbát zvýšenou pozornost na národní legislativu tak, aby nedocházelo k jejímu porušení. </w:t>
      </w:r>
    </w:p>
    <w:p w:rsidR="00000000" w:rsidDel="00000000" w:rsidP="00000000" w:rsidRDefault="00000000" w:rsidRPr="00000000" w14:paraId="00000011">
      <w:pPr>
        <w:pStyle w:val="Heading1"/>
        <w:ind w:left="0" w:hanging="2"/>
        <w:rPr/>
      </w:pPr>
      <w:r w:rsidDel="00000000" w:rsidR="00000000" w:rsidRPr="00000000">
        <w:rPr>
          <w:rtl w:val="0"/>
        </w:rPr>
        <w:t xml:space="preserve">2 Souvisící normy</w:t>
      </w:r>
    </w:p>
    <w:p w:rsidR="00000000" w:rsidDel="00000000" w:rsidP="00000000" w:rsidRDefault="00000000" w:rsidRPr="00000000" w14:paraId="00000012">
      <w:pPr>
        <w:ind w:left="0" w:hanging="2"/>
        <w:rPr/>
      </w:pPr>
      <w:bookmarkStart w:colFirst="0" w:colLast="0" w:name="_heading=h.exlj16mcv1lp" w:id="8"/>
      <w:bookmarkEnd w:id="8"/>
      <w:r w:rsidDel="00000000" w:rsidR="00000000" w:rsidRPr="00000000">
        <w:rPr>
          <w:rtl w:val="0"/>
        </w:rPr>
        <w:t xml:space="preserve">Popisovaný dokument uvádí 5 normativních odkazů na normu TPEG2 ISO 21219 části 1 (INV), 3, 4, 5 (SFW) a 9 (SNI). Jedná se o obecné normy definující základní strukturu zprávy, číslování a sestavení XML a binární serializace. </w:t>
      </w:r>
    </w:p>
    <w:p w:rsidR="00000000" w:rsidDel="00000000" w:rsidP="00000000" w:rsidRDefault="00000000" w:rsidRPr="00000000" w14:paraId="00000015">
      <w:pPr>
        <w:pStyle w:val="Heading1"/>
        <w:ind w:left="0" w:hanging="2"/>
        <w:rPr/>
      </w:pPr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tyjcwt" w:id="9"/>
      <w:bookmarkEnd w:id="9"/>
      <w:r w:rsidDel="00000000" w:rsidR="00000000" w:rsidRPr="00000000">
        <w:rPr>
          <w:color w:val="000000"/>
          <w:rtl w:val="0"/>
        </w:rPr>
        <w:t xml:space="preserve">Tato kapitola definuje 8 termínů, m.j. </w:t>
      </w:r>
    </w:p>
    <w:p w:rsidR="00000000" w:rsidDel="00000000" w:rsidP="00000000" w:rsidRDefault="00000000" w:rsidRPr="00000000" w14:paraId="00000017">
      <w:pPr>
        <w:ind w:left="-2" w:firstLine="0"/>
        <w:rPr/>
      </w:pPr>
      <w:r w:rsidDel="00000000" w:rsidR="00000000" w:rsidRPr="00000000">
        <w:rPr>
          <w:b w:val="1"/>
          <w:rtl w:val="0"/>
        </w:rPr>
        <w:t xml:space="preserve">Informace o zvýšené pozornosti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Vigilance information</w:t>
      </w:r>
      <w:r w:rsidDel="00000000" w:rsidR="00000000" w:rsidRPr="00000000">
        <w:rPr>
          <w:rtl w:val="0"/>
        </w:rPr>
        <w:t xml:space="preserve">) informace, kterým má řidič věnovat zvýšenou pozornost</w:t>
      </w:r>
    </w:p>
    <w:p w:rsidR="00000000" w:rsidDel="00000000" w:rsidP="00000000" w:rsidRDefault="00000000" w:rsidRPr="00000000" w14:paraId="00000018">
      <w:pPr>
        <w:ind w:left="-2" w:firstLine="0"/>
        <w:rPr/>
      </w:pPr>
      <w:r w:rsidDel="00000000" w:rsidR="00000000" w:rsidRPr="00000000">
        <w:rPr>
          <w:b w:val="1"/>
          <w:rtl w:val="0"/>
        </w:rPr>
        <w:t xml:space="preserve">Úroveň důvěryhodnosti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Confidence Level</w:t>
      </w:r>
      <w:r w:rsidDel="00000000" w:rsidR="00000000" w:rsidRPr="00000000">
        <w:rPr>
          <w:rtl w:val="0"/>
        </w:rPr>
        <w:t xml:space="preserve">) nepovinný údaj o správnosti a přesnosti atributů informací o zvýšené pozornosti.</w:t>
      </w:r>
    </w:p>
    <w:p w:rsidR="00000000" w:rsidDel="00000000" w:rsidP="00000000" w:rsidRDefault="00000000" w:rsidRPr="00000000" w14:paraId="00000009">
      <w:pPr>
        <w:ind w:left="0" w:hanging="2"/>
        <w:rPr/>
      </w:pPr>
      <w:r>
        <w:rPr>
          <w:rtl w:val="0"/>
        </w:rPr>
        <w:t xml:space="preserve">Další termíny a zkratky z oboru ITS jsou obsaženy ve slovníku ITS terminology.</w:t>
      </w:r>
    </w:p>
    <w:p w:rsidR="00000000" w:rsidDel="00000000" w:rsidP="00000000" w:rsidRDefault="00000000" w:rsidRPr="00000000" w14:paraId="00000019">
      <w:pPr>
        <w:pStyle w:val="Heading1"/>
        <w:ind w:left="0" w:hanging="2"/>
        <w:rPr/>
      </w:pPr>
      <w:bookmarkStart w:colFirst="0" w:colLast="0" w:name="_heading=h.k2373fclpmbw" w:id="10"/>
      <w:bookmarkEnd w:id="10"/>
      <w:r w:rsidDel="00000000" w:rsidR="00000000" w:rsidRPr="00000000">
        <w:rPr>
          <w:rtl w:val="0"/>
        </w:rPr>
        <w:t xml:space="preserve">4 Symboly a zkratky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12 zkratek, důležité z pohledu tohoto extraktu jsou: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MMC</w:t>
      </w:r>
      <w:r w:rsidDel="00000000" w:rsidR="00000000" w:rsidRPr="00000000">
        <w:rPr>
          <w:color w:val="000000"/>
          <w:rtl w:val="0"/>
        </w:rPr>
        <w:tab/>
        <w:t xml:space="preserve">kontejner pro management zpráv </w:t>
      </w:r>
      <w:r w:rsidDel="00000000" w:rsidR="00000000" w:rsidRPr="00000000">
        <w:rPr>
          <w:i w:val="1"/>
          <w:color w:val="000000"/>
          <w:rtl w:val="0"/>
        </w:rPr>
        <w:t xml:space="preserve">(Message Management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ADC</w:t>
        <w:tab/>
      </w:r>
      <w:r w:rsidDel="00000000" w:rsidR="00000000" w:rsidRPr="00000000">
        <w:rPr>
          <w:color w:val="000000"/>
          <w:rtl w:val="0"/>
        </w:rPr>
        <w:t xml:space="preserve">kontejner pro popis aplikace </w:t>
      </w:r>
      <w:r w:rsidDel="00000000" w:rsidR="00000000" w:rsidRPr="00000000">
        <w:rPr>
          <w:i w:val="1"/>
          <w:color w:val="000000"/>
          <w:rtl w:val="0"/>
        </w:rPr>
        <w:t xml:space="preserve">(Application Data Container) </w:t>
      </w:r>
    </w:p>
    <w:p w:rsidR="00000000" w:rsidDel="00000000" w:rsidP="00000000" w:rsidRDefault="00000000" w:rsidRPr="00000000" w14:paraId="0000001D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LRC</w:t>
        <w:tab/>
      </w:r>
      <w:r w:rsidDel="00000000" w:rsidR="00000000" w:rsidRPr="00000000">
        <w:rPr>
          <w:rtl w:val="0"/>
        </w:rPr>
        <w:t xml:space="preserve">kontejner pro odkazování na polohu </w:t>
      </w:r>
      <w:r w:rsidDel="00000000" w:rsidR="00000000" w:rsidRPr="00000000">
        <w:rPr>
          <w:i w:val="1"/>
          <w:rtl w:val="0"/>
        </w:rPr>
        <w:t xml:space="preserve">(Location Referencing Container)</w:t>
      </w:r>
    </w:p>
    <w:p w:rsidR="00000000" w:rsidDel="00000000" w:rsidP="00000000" w:rsidRDefault="00000000" w:rsidRPr="00000000" w14:paraId="0000001E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TPEG</w:t>
        <w:tab/>
      </w:r>
      <w:r w:rsidDel="00000000" w:rsidR="00000000" w:rsidRPr="00000000">
        <w:rPr>
          <w:rtl w:val="0"/>
        </w:rPr>
        <w:t xml:space="preserve">framework poskytující formáty a protokoly pro poskytování dopravních informací, optimalizovaných na šíření prostřednictvím digitálního rozhlasu či Internetu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/>
      </w:pPr>
      <w:r>
        <w:rPr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 w14:paraId="00000020">
      <w:pPr>
        <w:pStyle w:val="Heading1"/>
        <w:ind w:left="0" w:hanging="2"/>
        <w:rPr/>
      </w:pPr>
      <w:bookmarkStart w:colFirst="0" w:colLast="0" w:name="_heading=h.qfqfpgofc94p" w:id="11"/>
      <w:bookmarkEnd w:id="11"/>
      <w:r w:rsidDel="00000000" w:rsidR="00000000" w:rsidRPr="00000000">
        <w:rPr>
          <w:rtl w:val="0"/>
        </w:rPr>
        <w:t xml:space="preserve">5 Podmínky a omezení aplikace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t3h5sf" w:id="12"/>
      <w:bookmarkEnd w:id="12"/>
      <w:r w:rsidDel="00000000" w:rsidR="00000000" w:rsidRPr="00000000">
        <w:rPr>
          <w:color w:val="000000"/>
          <w:rtl w:val="0"/>
        </w:rPr>
        <w:t xml:space="preserve">Tato kapitola (rozsah 1,5 strany) vymezuje: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Identifikátor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který je stanovený pro všechny aplikace v TS 21219-1.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Verzi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Verze je klíčová z pohledu dekodéru, jednotlivé verze stejné aplikace se totiž mohou od sebe lišit strukturou, obsahem atp.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Pořadí kontejnerů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ze kterých je zpráva složena. Zpráva se skládá z kontejneru pro management zpráv (MMC), kontejneru pro popis aplikace (ADC) a kontejneru pro odkazování na polohu (LRC).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Rozšiřitelnost a zpětnou kompatibilitu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jako požadavek na přeskočení neznámých částí zprávy dekodérem a specifikaci v budoucnu rozšiřitelných částí struktur TPEG zprávy.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Rámec komponent služby TPEG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dle ISO/TS 21219-5.</w:t>
      </w:r>
    </w:p>
    <w:p w:rsidR="00000000" w:rsidDel="00000000" w:rsidP="00000000" w:rsidRDefault="00000000" w:rsidRPr="00000000" w14:paraId="00000027">
      <w:pPr>
        <w:pStyle w:val="Heading1"/>
        <w:ind w:left="0" w:hanging="2"/>
        <w:rPr/>
      </w:pPr>
      <w:bookmarkStart w:colFirst="0" w:colLast="0" w:name="_heading=h.70y3xb1dvgqi" w:id="13"/>
      <w:bookmarkEnd w:id="13"/>
      <w:r w:rsidDel="00000000" w:rsidR="00000000" w:rsidRPr="00000000">
        <w:rPr>
          <w:rtl w:val="0"/>
        </w:rPr>
        <w:t xml:space="preserve">6 Struktura VLI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4d34og8" w:id="14"/>
      <w:bookmarkEnd w:id="14"/>
      <w:r w:rsidDel="00000000" w:rsidR="00000000" w:rsidRPr="00000000">
        <w:rPr>
          <w:color w:val="000000"/>
          <w:rtl w:val="0"/>
        </w:rPr>
        <w:t xml:space="preserve">Tato kapitola (rozsah 1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brázek) obsahuje UML model zprávy aplikace </w:t>
      </w:r>
      <w:r w:rsidDel="00000000" w:rsidR="00000000" w:rsidRPr="00000000">
        <w:rPr>
          <w:rtl w:val="0"/>
        </w:rPr>
        <w:t xml:space="preserve">VLI.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0720" cy="5574665"/>
            <wp:effectExtent b="0" l="0" r="0" t="0"/>
            <wp:docPr id="10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1 - UML model tříd aplikace </w:t>
      </w:r>
      <w:r w:rsidDel="00000000" w:rsidR="00000000" w:rsidRPr="00000000">
        <w:rPr>
          <w:sz w:val="18"/>
          <w:szCs w:val="18"/>
          <w:rtl w:val="0"/>
        </w:rPr>
        <w:t xml:space="preserve">VLI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(obrázek 2 normy)</w:t>
      </w:r>
    </w:p>
    <w:p w:rsidR="00000000" w:rsidDel="00000000" w:rsidP="00000000" w:rsidRDefault="00000000" w:rsidRPr="00000000" w14:paraId="0000002B">
      <w:pPr>
        <w:pStyle w:val="Heading1"/>
        <w:ind w:left="0" w:hanging="2"/>
        <w:rPr/>
      </w:pPr>
      <w:bookmarkStart w:colFirst="0" w:colLast="0" w:name="_heading=h.zeeuw5iep7ap" w:id="15"/>
      <w:bookmarkEnd w:id="15"/>
      <w:r w:rsidDel="00000000" w:rsidR="00000000" w:rsidRPr="00000000">
        <w:rPr>
          <w:rtl w:val="0"/>
        </w:rPr>
        <w:t xml:space="preserve">7 Komponenty zprávy VLI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strany, 3 tabulky) popisuje jednotlivé komponenty zprávy </w:t>
      </w:r>
      <w:r w:rsidDel="00000000" w:rsidR="00000000" w:rsidRPr="00000000">
        <w:rPr>
          <w:rtl w:val="0"/>
        </w:rPr>
        <w:t xml:space="preserve">VLI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Stanovuje pro zprávu VLI její základní strukturu „VigilanceMessage“ která může obsahovat informaci o potřebě zvýšené pozornosti (VigilanceInformation) a informaci o poloze (LocationReferenceLink) ne nezbytně v jedné zprávě.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17dp8vu" w:id="16"/>
      <w:bookmarkEnd w:id="16"/>
      <w:r w:rsidDel="00000000" w:rsidR="00000000" w:rsidRPr="00000000">
        <w:rPr>
          <w:rtl w:val="0"/>
        </w:rPr>
        <w:t xml:space="preserve">Struktura VigilanceInformation obsahuje informace o typu situace, času, důvěryhodnosti, rychlostním omezení (SpeedLimit) a volný text. Struktura SpeedLimit obsahuje informace o čase, typu rychlostního omezení, jízdním pruhu, typu vozidla a souvisejících povětrnostních podmínkách.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Popis polohy není specifikován.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Datové typy </w:t>
      </w:r>
      <w:r w:rsidDel="00000000" w:rsidR="00000000" w:rsidRPr="00000000">
        <w:rPr>
          <w:b w:val="1"/>
          <w:sz w:val="22"/>
          <w:szCs w:val="22"/>
          <w:rtl w:val="0"/>
        </w:rPr>
        <w:t xml:space="preserve">VLI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  <w:sz w:val="18"/>
          <w:szCs w:val="18"/>
        </w:rPr>
      </w:pPr>
      <w:bookmarkStart w:colFirst="0" w:colLast="0" w:name="_heading=h.lnxbz9" w:id="17"/>
      <w:bookmarkEnd w:id="17"/>
      <w:r w:rsidDel="00000000" w:rsidR="00000000" w:rsidRPr="00000000">
        <w:rPr>
          <w:color w:val="000000"/>
          <w:rtl w:val="0"/>
        </w:rPr>
        <w:t xml:space="preserve">Tato kapitola (</w:t>
      </w:r>
      <w:r w:rsidDel="00000000" w:rsidR="00000000" w:rsidRPr="00000000">
        <w:rPr>
          <w:rtl w:val="0"/>
        </w:rPr>
        <w:t xml:space="preserve">rozsah 2 stran, 2 tabulky) obsahuje definice 2 použitých datových struktur (typů), </w:t>
      </w:r>
      <w:r w:rsidDel="00000000" w:rsidR="00000000" w:rsidRPr="00000000">
        <w:rPr>
          <w:b w:val="1"/>
          <w:rtl w:val="0"/>
        </w:rPr>
        <w:t xml:space="preserve">LaneNumber</w:t>
      </w:r>
      <w:r w:rsidDel="00000000" w:rsidR="00000000" w:rsidRPr="00000000">
        <w:rPr>
          <w:rtl w:val="0"/>
        </w:rPr>
        <w:t xml:space="preserve"> stanovující výčet ovlivněných jízdních pruhů (laneX) a </w:t>
      </w:r>
      <w:r w:rsidDel="00000000" w:rsidR="00000000" w:rsidRPr="00000000">
        <w:rPr>
          <w:b w:val="1"/>
          <w:rtl w:val="0"/>
        </w:rPr>
        <w:t xml:space="preserve">SubdivisionCountryCode</w:t>
      </w:r>
      <w:r w:rsidDel="00000000" w:rsidR="00000000" w:rsidRPr="00000000">
        <w:rPr>
          <w:rtl w:val="0"/>
        </w:rPr>
        <w:t xml:space="preserve"> stanovující kód země a státu, např. pro USA stát Massachusetts US 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Struktury se skládají ze složitých či jednoduchých datových objektů, výskyt každé položky datové struktury (</w:t>
      </w:r>
      <w:r w:rsidDel="00000000" w:rsidR="00000000" w:rsidRPr="00000000">
        <w:rPr>
          <w:rtl w:val="0"/>
        </w:rPr>
        <w:t xml:space="preserve">tj.</w:t>
      </w:r>
      <w:r w:rsidDel="00000000" w:rsidR="00000000" w:rsidRPr="00000000">
        <w:rPr>
          <w:color w:val="000000"/>
          <w:rtl w:val="0"/>
        </w:rPr>
        <w:t xml:space="preserve"> její multiplicita) je doplněn datovým typem a popisem. Tabulka níže uvádí datové struktury stanovené v této kapitole.</w:t>
      </w:r>
    </w:p>
    <w:p w:rsidR="00000000" w:rsidDel="00000000" w:rsidP="00000000" w:rsidRDefault="00000000" w:rsidRPr="00000000" w14:paraId="0000003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 Tabulky </w:t>
      </w:r>
      <w:r w:rsidDel="00000000" w:rsidR="00000000" w:rsidRPr="00000000">
        <w:rPr>
          <w:b w:val="1"/>
          <w:sz w:val="22"/>
          <w:szCs w:val="22"/>
          <w:rtl w:val="0"/>
        </w:rPr>
        <w:t xml:space="preserve">VLI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stran) obsahuje definice výčtových typů aplikace </w:t>
      </w:r>
      <w:r w:rsidDel="00000000" w:rsidR="00000000" w:rsidRPr="00000000">
        <w:rPr>
          <w:rtl w:val="0"/>
        </w:rPr>
        <w:t xml:space="preserve">VLI</w:t>
      </w:r>
      <w:r w:rsidDel="00000000" w:rsidR="00000000" w:rsidRPr="00000000">
        <w:rPr>
          <w:color w:val="000000"/>
          <w:rtl w:val="0"/>
        </w:rPr>
        <w:t xml:space="preserve"> (v 4 tabulkách).  Následující tabulka jmenovitě uvádí jednotlivé tabulky a doplňuje je popisem a příkladem obsahu.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iykewot5vw7m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1 - Seznam tabulek VLI (výčtů hodnot) (zdroj: autor extraktu)</w:t>
      </w:r>
    </w:p>
    <w:tbl>
      <w:tblPr>
        <w:tblStyle w:val="Table2"/>
        <w:tblW w:w="9196.0" w:type="dxa"/>
        <w:jc w:val="left"/>
        <w:tblInd w:w="-5.0" w:type="dxa"/>
        <w:tblLayout w:type="fixed"/>
        <w:tblLook w:val="0000"/>
      </w:tblPr>
      <w:tblGrid>
        <w:gridCol w:w="2655"/>
        <w:gridCol w:w="3157"/>
        <w:gridCol w:w="3384"/>
        <w:tblGridChange w:id="0">
          <w:tblGrid>
            <w:gridCol w:w="2655"/>
            <w:gridCol w:w="3157"/>
            <w:gridCol w:w="33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VLI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vli001:VigilanceType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zvýšené pozornosti  (0-31)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2jxsxqh" w:id="19"/>
            <w:bookmarkEnd w:id="19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013: congestion charge camera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vli002:ConfidenceLevel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Úroveň důvěryhodnosti (0-3)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vli003:VehicleType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vozidla (0-6)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caravan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vli004:WeatherCondition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Povětrnostní podmínky platnosti rychlostního omezení (0-5)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001: high winds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Následující tabulka </w:t>
      </w:r>
      <w:r w:rsidDel="00000000" w:rsidR="00000000" w:rsidRPr="00000000">
        <w:rPr>
          <w:rtl w:val="0"/>
        </w:rPr>
        <w:t xml:space="preserve">obsahuje ukázku tabulky „vli001:VigilanceType” z popisovaného</w:t>
      </w:r>
      <w:r w:rsidDel="00000000" w:rsidR="00000000" w:rsidRPr="00000000">
        <w:rPr>
          <w:color w:val="000000"/>
          <w:rtl w:val="0"/>
        </w:rPr>
        <w:t xml:space="preserve"> dokumentu.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wpo5mx1gy36r" w:id="20"/>
      <w:bookmarkEnd w:id="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2 -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Příklad části definice výčtového typu vli001:VigilanceType (tabulka 7 normy)</w:t>
      </w:r>
    </w:p>
    <w:tbl>
      <w:tblPr>
        <w:tblStyle w:val="Table3"/>
        <w:tblW w:w="9044.0" w:type="dxa"/>
        <w:jc w:val="left"/>
        <w:tblInd w:w="131.0" w:type="dxa"/>
        <w:tblLayout w:type="fixed"/>
        <w:tblLook w:val="0000"/>
      </w:tblPr>
      <w:tblGrid>
        <w:gridCol w:w="715"/>
        <w:gridCol w:w="3118"/>
        <w:gridCol w:w="5211"/>
        <w:tblGridChange w:id="0">
          <w:tblGrid>
            <w:gridCol w:w="715"/>
            <w:gridCol w:w="3118"/>
            <w:gridCol w:w="52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Fráze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komentář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Neznámý (unknown)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pevná rychlostní kamera (fixed speed camera)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Kamera na stálém místě, která se aktivuje při překročení povolené rychlosti.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rychlostní kamera s detekcí průjezdu na červenou (red light speed camera)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Kamera na stálém místě, která se aktivuje při průjezdu na červenou nebo při překročení povolené rychlosti.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kamera s detekcí průjezdu na červenou (red light camera)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Kamera na stálém místě, která se aktivuje při průjezdu na červenou.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mobilní rychlostní kamera (mobile speed camera)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Kamera na dočasném místě, která se aktivuje při překročení povolené rychlosti.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35nkun2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A (</w:t>
      </w:r>
      <w:r w:rsidDel="00000000" w:rsidR="00000000" w:rsidRPr="00000000">
        <w:rPr>
          <w:b w:val="1"/>
          <w:sz w:val="22"/>
          <w:szCs w:val="22"/>
          <w:rtl w:val="0"/>
        </w:rPr>
        <w:t xml:space="preserve">normativní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 TPEG-bin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VLI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ksv4uv" w:id="22"/>
      <w:bookmarkEnd w:id="22"/>
      <w:r w:rsidDel="00000000" w:rsidR="00000000" w:rsidRPr="00000000">
        <w:rPr>
          <w:color w:val="000000"/>
          <w:rtl w:val="0"/>
        </w:rPr>
        <w:t xml:space="preserve">Tato příloha (rozsah 5 stran) stanovuje binární reprezentaci aplikace </w:t>
      </w:r>
      <w:r w:rsidDel="00000000" w:rsidR="00000000" w:rsidRPr="00000000">
        <w:rPr>
          <w:rtl w:val="0"/>
        </w:rPr>
        <w:t xml:space="preserve">VLI</w:t>
      </w:r>
      <w:r w:rsidDel="00000000" w:rsidR="00000000" w:rsidRPr="00000000">
        <w:rPr>
          <w:color w:val="000000"/>
          <w:rtl w:val="0"/>
        </w:rPr>
        <w:t xml:space="preserve">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4sinio" w:id="23"/>
      <w:bookmarkEnd w:id="23"/>
      <w:r w:rsidDel="00000000" w:rsidR="00000000" w:rsidRPr="00000000">
        <w:rPr>
          <w:color w:val="000000"/>
          <w:rtl w:val="0"/>
        </w:rPr>
        <w:t xml:space="preserve">Příloha obsahuje samostatně uvedené binární reprezentace rámce TPEG, zprávy </w:t>
      </w:r>
      <w:r w:rsidDel="00000000" w:rsidR="00000000" w:rsidRPr="00000000">
        <w:rPr>
          <w:rtl w:val="0"/>
        </w:rPr>
        <w:t xml:space="preserve">VLI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 a datových typů. Dále obsahuje identifikátory komponent zprávy a vysvětlení použití obecných atributů TPEG. Příklad pseudokódu binární specifikace </w:t>
      </w:r>
      <w:r w:rsidDel="00000000" w:rsidR="00000000" w:rsidRPr="00000000">
        <w:rPr>
          <w:rtl w:val="0"/>
        </w:rPr>
        <w:t xml:space="preserve">prvku VigilanceMessage je uveden v</w:t>
      </w:r>
      <w:r w:rsidDel="00000000" w:rsidR="00000000" w:rsidRPr="00000000">
        <w:rPr>
          <w:color w:val="000000"/>
          <w:rtl w:val="0"/>
        </w:rPr>
        <w:t xml:space="preserve"> následující tabulce.</w:t>
      </w:r>
    </w:p>
    <w:p w:rsidR="00000000" w:rsidDel="00000000" w:rsidP="00000000" w:rsidRDefault="00000000" w:rsidRPr="00000000" w14:paraId="0000005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sz w:val="18"/>
          <w:szCs w:val="18"/>
        </w:rPr>
      </w:pPr>
      <w:bookmarkStart w:colFirst="0" w:colLast="0" w:name="_heading=h.y0ayy7lgb8no" w:id="24"/>
      <w:bookmarkEnd w:id="24"/>
      <w:r w:rsidDel="00000000" w:rsidR="00000000" w:rsidRPr="00000000">
        <w:rPr>
          <w:sz w:val="18"/>
          <w:szCs w:val="18"/>
          <w:rtl w:val="0"/>
        </w:rPr>
        <w:t xml:space="preserve">Tabulka 3 - Příklad pseudokódu binární specifikace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prvku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VigilanceMessage </w:t>
      </w:r>
      <w:r w:rsidDel="00000000" w:rsidR="00000000" w:rsidRPr="00000000">
        <w:rPr>
          <w:sz w:val="18"/>
          <w:szCs w:val="18"/>
          <w:rtl w:val="0"/>
        </w:rPr>
        <w:t xml:space="preserve">(článek A.2.4 normy)</w:t>
      </w:r>
    </w:p>
    <w:tbl>
      <w:tblPr>
        <w:tblStyle w:val="Table4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7"/>
        <w:gridCol w:w="4328"/>
        <w:tblGridChange w:id="0">
          <w:tblGrid>
            <w:gridCol w:w="4957"/>
            <w:gridCol w:w="4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&lt;VigilanceMessage(0)&gt;:=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&lt;IntUnTi&gt;(0),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Id této komponenty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&lt;IntUnLoMB&gt;(lengthComp),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Počet bajtů v komponentě, kromě indikátorů id a lengthComp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&lt;IntUnLoMB&gt;(lengthAttr),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Počet bajtů v atributech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ordered {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&lt;MMCSwitch&gt;(mmt),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kontejner pro management zpráv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n * &lt;VigilanceInformation&gt;(vigilanceInformation)[0..1],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popis informace s omezením rychlosti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n * &lt;LocationReferenceLink&gt;(loc)[0..1]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kontejner pro odkazování na polohu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};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B (normativní) TPEG-ML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VLI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stran) obsahuje nejprve </w:t>
      </w:r>
      <w:r w:rsidDel="00000000" w:rsidR="00000000" w:rsidRPr="00000000">
        <w:rPr>
          <w:color w:val="000000"/>
          <w:u w:val="single"/>
          <w:rtl w:val="0"/>
        </w:rPr>
        <w:t xml:space="preserve">samostatně uvedené</w:t>
      </w:r>
      <w:r w:rsidDel="00000000" w:rsidR="00000000" w:rsidRPr="00000000">
        <w:rPr>
          <w:color w:val="000000"/>
          <w:rtl w:val="0"/>
        </w:rPr>
        <w:t xml:space="preserve"> XML schéma rámce TPEG, dále zprávy </w:t>
      </w:r>
      <w:r w:rsidDel="00000000" w:rsidR="00000000" w:rsidRPr="00000000">
        <w:rPr>
          <w:rtl w:val="0"/>
        </w:rPr>
        <w:t xml:space="preserve">VLI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rozšíření, datových typů a tabulek </w:t>
      </w:r>
      <w:r w:rsidDel="00000000" w:rsidR="00000000" w:rsidRPr="00000000">
        <w:rPr>
          <w:rtl w:val="0"/>
        </w:rPr>
        <w:t xml:space="preserve">VLI</w:t>
      </w:r>
      <w:r w:rsidDel="00000000" w:rsidR="00000000" w:rsidRPr="00000000">
        <w:rPr>
          <w:color w:val="000000"/>
          <w:rtl w:val="0"/>
        </w:rPr>
        <w:t xml:space="preserve"> (definovaných jako xs:complexType), viz příklad na obrázku níže. Následně uvádí vše výše zmíněné v jednom funkčním XML schématu. </w:t>
      </w:r>
    </w:p>
    <w:tbl>
      <w:tblPr>
        <w:tblStyle w:val="Table5"/>
        <w:tblW w:w="92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&lt;xs:complexType name="SpeedLimit"&gt; </w:t>
            </w:r>
          </w:p>
          <w:p w:rsidR="00000000" w:rsidDel="00000000" w:rsidP="00000000" w:rsidRDefault="00000000" w:rsidRPr="00000000" w14:paraId="0000007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&lt;xs:sequence&gt; </w:t>
            </w:r>
          </w:p>
          <w:p w:rsidR="00000000" w:rsidDel="00000000" w:rsidP="00000000" w:rsidRDefault="00000000" w:rsidRPr="00000000" w14:paraId="0000007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name="variableSpeedLimit" type="tdt:Boolean"/&gt; </w:t>
            </w:r>
          </w:p>
          <w:p w:rsidR="00000000" w:rsidDel="00000000" w:rsidP="00000000" w:rsidRDefault="00000000" w:rsidRPr="00000000" w14:paraId="0000007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name="speedLimitInMilesPerHours" type="tdt:Boolean"/&gt; </w:t>
            </w:r>
          </w:p>
          <w:p w:rsidR="00000000" w:rsidDel="00000000" w:rsidP="00000000" w:rsidRDefault="00000000" w:rsidRPr="00000000" w14:paraId="0000007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name="speedLimit" type="tdt:IntUnTi" minOccurs="0"/&gt; </w:t>
            </w:r>
          </w:p>
          <w:p w:rsidR="00000000" w:rsidDel="00000000" w:rsidP="00000000" w:rsidRDefault="00000000" w:rsidRPr="00000000" w14:paraId="0000007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name="timeInterval" type="tdt:TimeToolkit" minOccurs="0"/&gt; </w:t>
            </w:r>
          </w:p>
          <w:p w:rsidR="00000000" w:rsidDel="00000000" w:rsidP="00000000" w:rsidRDefault="00000000" w:rsidRPr="00000000" w14:paraId="0000007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name="laneNumber" type="LaneNumber" minOccurs="0"/&gt; </w:t>
            </w:r>
          </w:p>
          <w:p w:rsidR="00000000" w:rsidDel="00000000" w:rsidP="00000000" w:rsidRDefault="00000000" w:rsidRPr="00000000" w14:paraId="0000007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name="vehicleType" type="vli003_VehicleType" minOccurs="0"/&gt; </w:t>
            </w:r>
          </w:p>
          <w:p w:rsidR="00000000" w:rsidDel="00000000" w:rsidP="00000000" w:rsidRDefault="00000000" w:rsidRPr="00000000" w14:paraId="0000007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&lt;xs:element name="weatherCondition" type="vli004_WeatherCondition" minOccurs="0"/&gt;</w:t>
            </w:r>
          </w:p>
          <w:p w:rsidR="00000000" w:rsidDel="00000000" w:rsidP="00000000" w:rsidRDefault="00000000" w:rsidRPr="00000000" w14:paraId="0000007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&lt;/xs:sequence&gt; </w:t>
            </w:r>
          </w:p>
          <w:p w:rsidR="00000000" w:rsidDel="00000000" w:rsidP="00000000" w:rsidRDefault="00000000" w:rsidRPr="00000000" w14:paraId="0000007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&lt;/xs:complexType&gt; 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2 - Výstřižek schématu XSD stanovujícího strukturu </w:t>
      </w:r>
      <w:r w:rsidDel="00000000" w:rsidR="00000000" w:rsidRPr="00000000">
        <w:rPr>
          <w:sz w:val="18"/>
          <w:szCs w:val="18"/>
          <w:rtl w:val="0"/>
        </w:rPr>
        <w:t xml:space="preserve">prvku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SpeedLimit (článek B.2.4 normy)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899795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</w:pPr>
    <w:rPr>
      <w:b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tabs>
        <w:tab w:val="left" w:leader="none" w:pos="7080"/>
        <w:tab w:val="right" w:leader="none" w:pos="9923"/>
      </w:tabs>
      <w:spacing w:after="60" w:lineRule="auto"/>
      <w:jc w:val="center"/>
    </w:pPr>
    <w:rPr>
      <w:b w:val="1"/>
      <w:color w:val="000000"/>
      <w:sz w:val="40"/>
      <w:szCs w:val="40"/>
    </w:rPr>
  </w:style>
  <w:style w:type="paragraph" w:styleId="Normln" w:default="1">
    <w:name w:val="Normal"/>
    <w:qFormat w:val="1"/>
    <w:pPr>
      <w:ind w:left="-1" w:leftChars="-1" w:hangingChars="1"/>
      <w:textDirection w:val="btLr"/>
      <w:textAlignment w:val="top"/>
      <w:outlineLvl w:val="0"/>
    </w:pPr>
    <w:rPr>
      <w:position w:val="-1"/>
      <w:lang w:bidi="hi-IN" w:eastAsia="hi-IN"/>
    </w:rPr>
  </w:style>
  <w:style w:type="paragraph" w:styleId="Nadpis1">
    <w:name w:val="heading 1"/>
    <w:basedOn w:val="Normln"/>
    <w:next w:val="Zkladntext"/>
    <w:uiPriority w:val="9"/>
    <w:qFormat w:val="1"/>
    <w:pPr>
      <w:keepNext w:val="1"/>
      <w:keepLines w:val="1"/>
      <w:spacing w:after="60" w:before="200"/>
    </w:pPr>
    <w:rPr>
      <w:b w:val="1"/>
      <w:color w:val="000000"/>
      <w:sz w:val="22"/>
      <w:szCs w:val="22"/>
    </w:rPr>
  </w:style>
  <w:style w:type="paragraph" w:styleId="Nadpis2">
    <w:name w:val="heading 2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Podnadpis1"/>
    <w:uiPriority w:val="10"/>
    <w:qFormat w:val="1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ListLabel1" w:customStyle="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Odrky" w:customStyle="1">
    <w:name w:val="Odrážky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color w:val="000000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  <w:color w:val="000000"/>
    </w:rPr>
  </w:style>
  <w:style w:type="paragraph" w:styleId="Podnadpis1" w:customStyle="1">
    <w:name w:val="Podnadpis1"/>
    <w:basedOn w:val="Normln"/>
    <w:next w:val="Zkladntext"/>
    <w:pPr>
      <w:keepNext w:val="1"/>
      <w:keepLines w:val="1"/>
      <w:spacing w:after="0" w:before="180" w:line="100" w:lineRule="atLeast"/>
      <w:jc w:val="left"/>
    </w:pPr>
    <w:rPr>
      <w:b w:val="1"/>
      <w:i w:val="1"/>
      <w:iCs w:val="1"/>
      <w:color w:val="000000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pPr>
      <w:spacing w:after="200" w:line="100" w:lineRule="atLeast"/>
      <w:jc w:val="center"/>
    </w:pPr>
    <w:rPr>
      <w:bCs w:val="1"/>
      <w:color w:val="000000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  <w:rPr>
      <w:color w:val="000000"/>
    </w:rPr>
  </w:style>
  <w:style w:type="paragraph" w:styleId="Normlnweb">
    <w:name w:val="Normal (Web)"/>
    <w:basedOn w:val="Normln"/>
    <w:qFormat w:val="1"/>
    <w:pPr>
      <w:suppressAutoHyphens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bidi="ar-SA" w:eastAsia="cs-CZ"/>
    </w:rPr>
  </w:style>
  <w:style w:type="table" w:styleId="Mkatabulky">
    <w:name w:val="Table Grid"/>
    <w:basedOn w:val="Normlntabulka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odnadpis">
    <w:name w:val="Subtitle"/>
    <w:basedOn w:val="Normln"/>
    <w:next w:val="Normln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Pr>
      <w:rFonts w:cs="Mangal"/>
      <w:position w:val="-1"/>
      <w:szCs w:val="18"/>
      <w:lang w:bidi="hi-IN" w:eastAsia="hi-IN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2524C9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2524C9"/>
    <w:rPr>
      <w:rFonts w:ascii="Tahoma" w:cs="Mangal" w:hAnsi="Tahoma"/>
      <w:position w:val="-1"/>
      <w:sz w:val="16"/>
      <w:szCs w:val="14"/>
      <w:lang w:bidi="hi-IN" w:eastAsia="hi-IN"/>
    </w:rPr>
  </w:style>
  <w:style w:type="paragraph" w:styleId="1StrNN-X" w:customStyle="1">
    <w:name w:val="1StrNN-X"/>
    <w:basedOn w:val="Normln"/>
    <w:rsid w:val="002524C9"/>
    <w:pPr>
      <w:widowControl w:val="0"/>
      <w:suppressAutoHyphens w:val="1"/>
      <w:spacing w:after="180" w:before="180" w:line="340" w:lineRule="exact"/>
      <w:ind w:left="0" w:right="567" w:leftChars="0" w:firstLine="0" w:firstLineChars="0"/>
      <w:jc w:val="left"/>
      <w:textDirection w:val="lrTb"/>
      <w:textAlignment w:val="auto"/>
      <w:outlineLvl w:val="9"/>
    </w:pPr>
    <w:rPr>
      <w:b w:val="1"/>
      <w:position w:val="0"/>
      <w:sz w:val="28"/>
      <w:lang w:bidi="ar-SA" w:eastAsia="cs-CZ"/>
    </w:rPr>
  </w:style>
  <w:style w:type="table" w:styleId="a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tabulky" w:customStyle="1">
    <w:name w:val="Text tabulky"/>
    <w:basedOn w:val="Normln"/>
    <w:rsid w:val="00876CFC"/>
    <w:pPr>
      <w:suppressAutoHyphens w:val="1"/>
      <w:spacing w:after="60" w:before="60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cs="Times New Roman" w:eastAsia="Times New Roman"/>
      <w:position w:val="0"/>
      <w:sz w:val="18"/>
      <w:lang w:bidi="ar-SA" w:eastAsia="cs-CZ"/>
    </w:rPr>
  </w:style>
  <w:style w:type="paragraph" w:styleId="Bezmezer">
    <w:name w:val="No Spacing"/>
    <w:uiPriority w:val="1"/>
    <w:qFormat w:val="1"/>
    <w:rsid w:val="002D199C"/>
    <w:pPr>
      <w:spacing w:after="0" w:line="240" w:lineRule="auto"/>
      <w:ind w:left="-1" w:leftChars="-1" w:hangingChars="1"/>
      <w:textDirection w:val="btLr"/>
      <w:textAlignment w:val="top"/>
      <w:outlineLvl w:val="0"/>
    </w:pPr>
    <w:rPr>
      <w:rFonts w:cs="Mangal"/>
      <w:position w:val="-1"/>
      <w:szCs w:val="18"/>
      <w:lang w:bidi="hi-IN" w:eastAsia="hi-IN"/>
    </w:rPr>
  </w:style>
  <w:style w:type="paragraph" w:styleId="Example" w:customStyle="1">
    <w:name w:val="Example"/>
    <w:basedOn w:val="Normln"/>
    <w:next w:val="Normln"/>
    <w:rsid w:val="00EF3B69"/>
    <w:pPr>
      <w:tabs>
        <w:tab w:val="left" w:pos="1360"/>
      </w:tabs>
      <w:spacing w:after="240" w:line="210" w:lineRule="atLeast"/>
      <w:ind w:left="0" w:leftChars="0" w:firstLine="0" w:firstLineChars="0"/>
      <w:textDirection w:val="lrTb"/>
      <w:textAlignment w:val="auto"/>
      <w:outlineLvl w:val="9"/>
    </w:pPr>
    <w:rPr>
      <w:rFonts w:cs="Times New Roman" w:eastAsia="MS Mincho"/>
      <w:position w:val="0"/>
      <w:sz w:val="18"/>
      <w:lang w:bidi="ar-SA" w:eastAsia="ja-JP" w:val="en-GB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itsterminology.or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rOKcg9YF3kfTrdQI7h43Sdns7A==">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2021-03-11T08:43:00Z</dcterms:created>
  <dc:creator>Petr Bureš</dc:creator>
</cp:coreProperties>
</file>