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0" w:after="60"/>
        <w:contextualSpacing w:val="false"/>
        <w:rPr/>
      </w:pPr>
      <w:bookmarkStart w:id="0" w:name="h.gjdgxs"/>
      <w:bookmarkEnd w:id="0"/>
      <w:r>
        <w:rPr/>
        <w:t>EXTRAKT z technické specifikace ISO</w:t>
      </w:r>
    </w:p>
    <w:p>
      <w:pPr>
        <w:pStyle w:val="normal1"/>
        <w:spacing w:lineRule="auto" w:line="276"/>
        <w:rPr/>
      </w:pPr>
      <w:r>
        <w:rPr>
          <w:b/>
        </w:rPr>
        <w:t>Extrakt nenahrazuje samotnou technickou normu, je pouze informativním materiálem o normě.</w:t>
      </w:r>
    </w:p>
    <w:tbl>
      <w:tblPr>
        <w:tblW w:w="9923" w:type="dxa"/>
        <w:jc w:val="start"/>
        <w:tblInd w:w="-108" w:type="dxa"/>
        <w:tblLayout w:type="fixed"/>
        <w:tblCellMar>
          <w:top w:w="0" w:type="dxa"/>
          <w:start w:w="108" w:type="dxa"/>
          <w:bottom w:w="0" w:type="dxa"/>
          <w:end w:w="108" w:type="dxa"/>
        </w:tblCellMar>
      </w:tblPr>
      <w:tblGrid>
        <w:gridCol w:w="7371"/>
        <w:gridCol w:w="2552"/>
      </w:tblGrid>
      <w:tr>
        <w:trPr>
          <w:trHeight w:val="1200" w:hRule="atLeast"/>
        </w:trPr>
        <w:tc>
          <w:tcPr>
            <w:tcW w:w="7371" w:type="dxa"/>
            <w:tcBorders>
              <w:top w:val="single" w:sz="12" w:space="0" w:color="000000"/>
              <w:bottom w:val="single" w:sz="12" w:space="0" w:color="000000"/>
            </w:tcBorders>
          </w:tcPr>
          <w:p>
            <w:pPr>
              <w:pStyle w:val="1StrNN-X"/>
              <w:spacing w:before="180" w:after="180"/>
              <w:rPr/>
            </w:pPr>
            <w:bookmarkStart w:id="1" w:name="h.4k0z4f5ryt7u"/>
            <w:bookmarkStart w:id="2" w:name="h.30j0zll"/>
            <w:bookmarkEnd w:id="1"/>
            <w:bookmarkEnd w:id="2"/>
            <w:r>
              <w:rPr/>
              <w:t>Inteligentní dopravní systémy – Dopravní a cestovní informace předávané prostřednictvím expertní skupiny pro protokoly v dopravě 2. generace (TPEG2) – Část 3: Pravidla pro konverzi z UML do binárního kódu</w:t>
            </w:r>
          </w:p>
        </w:tc>
        <w:tc>
          <w:tcPr>
            <w:tcW w:w="2552" w:type="dxa"/>
            <w:tcBorders>
              <w:top w:val="single" w:sz="12" w:space="0" w:color="000000"/>
              <w:bottom w:val="single" w:sz="12" w:space="0" w:color="000000"/>
            </w:tcBorders>
          </w:tcPr>
          <w:p>
            <w:pPr>
              <w:pStyle w:val="1StrCN"/>
              <w:snapToGrid w:val="false"/>
              <w:spacing w:before="180" w:after="0"/>
              <w:rPr>
                <w:rFonts w:eastAsia="Arial"/>
              </w:rPr>
            </w:pPr>
            <w:r>
              <w:rPr>
                <w:rFonts w:eastAsia="Arial"/>
              </w:rPr>
            </w:r>
          </w:p>
          <w:p>
            <w:pPr>
              <w:pStyle w:val="1StrCN"/>
              <w:rPr/>
            </w:pPr>
            <w:r>
              <w:rPr>
                <w:rFonts w:eastAsia="Arial"/>
              </w:rPr>
              <w:t>ISO/TS 21219-3</w:t>
            </w:r>
          </w:p>
          <w:p>
            <w:pPr>
              <w:pStyle w:val="normal1"/>
              <w:spacing w:before="80" w:after="80"/>
              <w:jc w:val="start"/>
              <w:rPr/>
            </w:pPr>
            <w:r>
              <w:rPr/>
            </w:r>
          </w:p>
          <w:p>
            <w:pPr>
              <w:pStyle w:val="normal1"/>
              <w:spacing w:before="80" w:after="80"/>
              <w:jc w:val="start"/>
              <w:rPr/>
            </w:pPr>
            <w:r>
              <w:rPr>
                <w:sz w:val="28"/>
                <w:szCs w:val="28"/>
              </w:rPr>
              <w:t xml:space="preserve"/>
            </w:r>
          </w:p>
        </w:tc>
      </w:tr>
    </w:tbl>
    <w:p>
      <w:pPr>
        <w:pStyle w:val="normal1"/>
        <w:keepNext w:val="true"/>
        <w:keepLines/>
        <w:tabs>
          <w:tab w:val="clear" w:pos="709"/>
          <w:tab w:val="left" w:pos="7920" w:leader="none"/>
        </w:tabs>
        <w:spacing w:before="240" w:after="360"/>
        <w:jc w:val="right"/>
        <w:rPr/>
      </w:pPr>
      <w:bookmarkStart w:id="3" w:name="h.1fob9te"/>
      <w:bookmarkEnd w:id="3"/>
      <w:r>
        <w:rPr>
          <w:sz w:val="28"/>
          <w:szCs w:val="28"/>
        </w:rPr>
        <w:t xml:space="preserve">Vydána 2015, 14 stran</w:t>
      </w:r>
    </w:p>
    <w:p>
      <w:pPr>
        <w:pStyle w:val="Heading1"/>
        <w:ind w:hanging="0" w:start="0"/>
        <w:rPr/>
      </w:pPr>
      <w:bookmarkStart w:id="4" w:name="h.l65gjz5ttlfp"/>
      <w:bookmarkEnd w:id="4"/>
      <w:r>
        <w:rPr/>
        <w:t>Úvod</w:t>
      </w:r>
    </w:p>
    <w:p>
      <w:pPr>
        <w:pStyle w:val="normal1"/>
        <w:rPr/>
      </w:pPr>
      <w: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w:t>
      </w:r>
    </w:p>
    <w:p>
      <w:pPr>
        <w:pStyle w:val="normal1"/>
        <w:rPr/>
      </w:pPr>
      <w: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w:t>
      </w:r>
    </w:p>
    <w:p>
      <w:pPr>
        <w:pStyle w:val="normal1"/>
        <w:spacing w:lineRule="auto" w:line="276"/>
        <w:rPr/>
      </w:pPr>
      <w:r>
        <w:t xml:space="preserve">Více informací o kontextu TPEG je obsaženo v úvodu extraktu k části 1 normy TPEG (21219-1).</w:t>
      </w:r>
    </w:p>
    <w:p>
      <w:pPr>
        <w:pStyle w:val="normal1"/>
        <w:spacing w:lineRule="auto" w:line="276"/>
        <w:rPr/>
      </w:pPr>
      <w: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w:t>
      </w:r>
    </w:p>
    <w:p>
      <w:pPr>
        <w:pStyle w:val="normal1"/>
        <w:rPr/>
      </w:pPr>
      <w:bookmarkStart w:id="5" w:name="h.z5pl7i5nnkj9"/>
      <w:bookmarkEnd w:id="5"/>
      <w:r>
        <w:t xml:space="preserve">Tento extrakt (dále jen “popisovaný dokument”) popisuje část 3 normy TPEG, která řeší pravidla pro konverzi z UML do binárního kódu.</w:t>
      </w:r>
    </w:p>
    <w:p>
      <w:pPr>
        <w:pStyle w:val="normal1"/>
        <w:rPr/>
      </w:pPr>
      <w:r>
        <w:t xml:space="preserve">Poznámka: Extrakt uvádí vybrané kapitoly popisovaného dokumentu a přejímá původní číslování kapitol.</w:t>
      </w:r>
    </w:p>
    <w:p>
      <w:pPr>
        <w:pStyle w:val="Heading1"/>
        <w:ind w:hanging="0" w:start="0"/>
        <w:rPr/>
      </w:pPr>
      <w:bookmarkStart w:id="6" w:name="h.zckzf021aayf"/>
      <w:bookmarkEnd w:id="6"/>
      <w:r>
        <w:rPr/>
        <w:t>Užití</w:t>
      </w:r>
    </w:p>
    <w:p>
      <w:pPr>
        <w:pStyle w:val="Textnormy"/>
        <w:rPr/>
      </w:pPr>
      <w:r>
        <w:rPr/>
        <w:t>Popisovaný dokument stanoví pravidla pro převod UML modelu aplikace TPEG do platformě závislého popisu tzv. binární formy vhodné pro popis aplikace TPEG v prostředí digitálního rozhlasu (DAB). Aby bylo popisovaný dokument použít, musí UML model aplikace TPEG (a tedy i s tím souvisící norma) existovat. Vzniklý binární formát slouží jednak jako šablona pro testy rozhraní, tak i jako “obsah”, který je následně vložen do části specifikace TPEG popisující binární formát, vytvořené podle šablony ISO/TS 21219-2.</w:t>
      </w:r>
    </w:p>
    <w:p>
      <w:pPr>
        <w:pStyle w:val="Textnormy"/>
        <w:rPr/>
      </w:pPr>
      <w:r>
        <w:rPr/>
        <w:t>Z výše uvedeného plyne, že je popisovaný dokument primárně použitelný</w:t>
      </w:r>
      <w:r>
        <w:rPr>
          <w:b/>
        </w:rPr>
        <w:t xml:space="preserve"> tvůrci norem</w:t>
      </w:r>
      <w:r>
        <w:rPr/>
        <w:t xml:space="preserve"> TPEG a správci datových struktur TPEG. </w:t>
      </w:r>
    </w:p>
    <w:p>
      <w:pPr>
        <w:pStyle w:val="Textnormy"/>
        <w:rPr/>
      </w:pPr>
      <w:r>
        <w:rPr/>
        <w:t>Pro ostatní tvůrce norem, může být tato norma inspirací věcnosti a konkrétnosti s jakou může být norma/specifikace vytvořena. Popisovaný dokument neobsahuje žádný zbytečný text, jakýkoliv další redukční zásah by již přinesl i redukci informace.</w:t>
      </w:r>
    </w:p>
    <w:p>
      <w:pPr>
        <w:pStyle w:val="Textnormy"/>
        <w:rPr/>
      </w:pPr>
      <w:r>
        <w:rPr/>
        <w:t>Tvůrce norem použije popisovaný dokument v krocích 3-4 následujícího postupu:</w:t>
      </w:r>
    </w:p>
    <w:p>
      <w:pPr>
        <w:pStyle w:val="normal1"/>
        <w:numPr>
          <w:ilvl w:val="0"/>
          <w:numId w:val="5"/>
        </w:numPr>
        <w:spacing w:before="0" w:after="120"/>
        <w:ind w:hanging="360" w:start="720" w:end="0"/>
        <w:contextualSpacing/>
        <w:rPr/>
      </w:pPr>
      <w:r>
        <w:rPr/>
        <w:t>vytvoří a podrobně okomentuje UML model navrhované aplikace TPEG, který bude respektovat pravidla daná popisovaným dokumentem (ISO/TS 21219-2),</w:t>
      </w:r>
    </w:p>
    <w:p>
      <w:pPr>
        <w:pStyle w:val="normal1"/>
        <w:numPr>
          <w:ilvl w:val="0"/>
          <w:numId w:val="5"/>
        </w:numPr>
        <w:spacing w:before="0" w:after="120"/>
        <w:ind w:hanging="360" w:start="720" w:end="0"/>
        <w:contextualSpacing/>
        <w:rPr/>
      </w:pPr>
      <w:r>
        <w:t xml:space="preserve">zkopíruje z popisovaného dokumentu předem připravenou šablonu i s úvodními texty,</w:t>
      </w:r>
    </w:p>
    <w:p>
      <w:pPr>
        <w:pStyle w:val="normal1"/>
        <w:numPr>
          <w:ilvl w:val="0"/>
          <w:numId w:val="5"/>
        </w:numPr>
        <w:spacing w:before="0" w:after="120"/>
        <w:ind w:hanging="360" w:start="720" w:end="0"/>
        <w:contextualSpacing/>
        <w:rPr/>
      </w:pPr>
      <w:r>
        <w:rPr/>
        <w:t>připraví a vloží další doplňkové texty a</w:t>
      </w:r>
    </w:p>
    <w:p>
      <w:pPr>
        <w:pStyle w:val="normal1"/>
        <w:numPr>
          <w:ilvl w:val="0"/>
          <w:numId w:val="5"/>
        </w:numPr>
        <w:spacing w:before="0" w:after="120"/>
        <w:ind w:hanging="360" w:start="720" w:end="0"/>
        <w:contextualSpacing/>
        <w:rPr/>
      </w:pPr>
      <w:bookmarkStart w:id="7" w:name="h.g6gxot6pjo8d"/>
      <w:bookmarkEnd w:id="7"/>
      <w:r>
        <w:t xml:space="preserve">použije softwarový nástroj na vytvoření tří norem. Jedné univerzální: UML a dvou platformě závislých: XML a binární (pro DAB) viz způsob tvorby v ISO/TS 21219-3 a ISO/TS 21219-4.</w:t>
      </w:r>
    </w:p>
    <w:p>
      <w:pPr>
        <w:pStyle w:val="Textnormy"/>
        <w:rPr/>
      </w:pPr>
      <w:r>
        <w:rPr>
          <w:b/>
        </w:rPr>
        <w:t>Vývojáři aplikací TPEG</w:t>
      </w:r>
      <w:r>
        <w:rPr/>
        <w:t xml:space="preserve"> popisovaný dokument nepoužijí, použijí normu konkrétní aplikace TPEG vzniklou podle pravidel popisovaného dokumentu.</w:t>
      </w:r>
    </w:p>
    <w:p>
      <w:pPr>
        <w:pStyle w:val="Heading1"/>
        <w:ind w:hanging="0" w:start="0"/>
        <w:rPr/>
      </w:pPr>
      <w:bookmarkStart w:id="10" w:name="h.wvdqid6rxp3f"/>
      <w:bookmarkEnd w:id="10"/>
      <w:r>
        <w:rPr/>
        <w:t xml:space="preserve">1 Předmět normy</w:t>
      </w:r>
    </w:p>
    <w:p>
      <w:pPr>
        <w:pStyle w:val="normal1"/>
        <w:rPr/>
      </w:pPr>
      <w:bookmarkStart w:id="11" w:name="h.1t3h5sf"/>
      <w:bookmarkEnd w:id="11"/>
      <w:r>
        <w:rPr/>
        <w:t xml:space="preserve">Popisovaný dokument stanoví pravidla pro převod UML modelu aplikace TPEG do binární podoby používané v digitálním rozhlasu (DAB). Obsahuje definice binární formy abstraktních datových typů a pravidla pro konverzi složených datových typů stanovených ISO/TS 21219-2.</w:t>
      </w:r>
    </w:p>
    <w:p>
      <w:pPr>
        <w:pStyle w:val="Heading1"/>
        <w:ind w:hanging="0" w:start="0"/>
        <w:rPr/>
      </w:pPr>
      <w:bookmarkStart w:id="8" w:name="h.ird55m6clrcv"/>
      <w:bookmarkEnd w:id="8"/>
      <w:r>
        <w:rPr/>
        <w:t xml:space="preserve">2 Souvisící normy</w:t>
      </w:r>
    </w:p>
    <w:p>
      <w:pPr>
        <w:pStyle w:val="normal1"/>
        <w:rPr/>
      </w:pPr>
      <w:bookmarkStart w:id="9" w:name="h.3dy6vkm"/>
      <w:bookmarkEnd w:id="9"/>
      <w:r>
        <w:t xml:space="preserve">Tento dokument uvádí 3 normativní odkazy na normu TPEG2 ISO 21219 části 2 (pravidla modelování) a 5 (rámec služby) a normu TPEG1 ISO 18234-2 syntaxe a sémantika.</w:t>
      </w:r>
    </w:p>
    <w:p>
      <w:pPr>
        <w:pStyle w:val="Heading1"/>
        <w:ind w:hanging="0" w:start="0"/>
        <w:rPr/>
      </w:pPr>
      <w:bookmarkStart w:id="12" w:name="h.9xul7dkigqpx"/>
      <w:bookmarkEnd w:id="12"/>
      <w:r>
        <w:rPr/>
        <w:t xml:space="preserve">3 Termíny, definice a zkratky</w:t>
      </w:r>
    </w:p>
    <w:p>
      <w:pPr>
        <w:pStyle w:val="normal1"/>
        <w:rPr/>
      </w:pPr>
      <w:r>
        <w:rPr/>
        <w:t>Tato specifikace obsahuje 2 vlastní zkratky a dále odkazuje na všechny zkratky použité v specifikaci ISO/TS 21219-2: Pravidla modelování pomocí UML.</w:t>
      </w:r>
    </w:p>
    <w:p>
      <w:pPr>
        <w:pStyle w:val="normal1"/>
        <w:rPr/>
      </w:pPr>
      <w:r>
        <w:rPr>
          <w:b/>
        </w:rPr>
        <w:t>UML</w:t>
      </w:r>
      <w:r>
        <w:rPr/>
        <w:tab/>
        <w:t>unifikovaný modelovací jazyk</w:t>
      </w:r>
      <w:r>
        <w:rPr>
          <w:i/>
        </w:rPr>
        <w:t xml:space="preserve"> (Unified Modeling Language)</w:t>
      </w:r>
    </w:p>
    <w:p>
      <w:pPr>
        <w:pStyle w:val="normal1"/>
        <w:rPr/>
      </w:pPr>
      <w:bookmarkStart w:id="13" w:name="h.600gr2zgni6x"/>
      <w:bookmarkEnd w:id="13"/>
      <w:r>
        <w:rPr>
          <w:b/>
        </w:rPr>
        <w:t>TPEG</w:t>
      </w:r>
      <w:r>
        <w:rPr/>
        <w:tab/>
        <w:t xml:space="preserve">expertní skupina pro protokoly v dopravě </w:t>
      </w:r>
      <w:r>
        <w:rPr>
          <w:i/>
        </w:rPr>
        <w:t>(Transport protocol experts group)</w:t>
      </w:r>
    </w:p>
    <w:p>
      <w:pPr>
        <w:pStyle w:val="normal1"/>
        <w:rPr/>
      </w:pPr>
      <w:bookmarkStart w:id="14" w:name="h.c24denr1flkv"/>
      <w:bookmarkEnd w:id="14"/>
      <w:r>
        <w:rPr/>
        <w:t>Klíčovými jsou také (v normě nezavedené) tyto termíny:</w:t>
      </w:r>
    </w:p>
    <w:p>
      <w:pPr>
        <w:pStyle w:val="normal1"/>
        <w:rPr/>
      </w:pPr>
      <w:bookmarkStart w:id="15" w:name="h.6aysjrav7ir6"/>
      <w:bookmarkEnd w:id="15"/>
      <w:r>
        <w:rPr>
          <w:b/>
        </w:rPr>
        <w:t>Aplikace TPEG</w:t>
        <w:tab/>
      </w:r>
      <w:r>
        <w:rPr/>
        <w:br/>
        <w:t xml:space="preserve">určitá oblast dopravních informací (dojezdové doby, informace o veřejné hromadné dopravě, informace o cenách benzínu, běžné dopravní informace, atp.) která je popsána jedním UML modelem (a následně několika částmi normy) </w:t>
      </w:r>
    </w:p>
    <w:p>
      <w:pPr>
        <w:pStyle w:val="normal1"/>
        <w:rPr/>
      </w:pPr>
      <w:bookmarkStart w:id="16" w:name="h.3bkt8nnnbxp6"/>
      <w:bookmarkEnd w:id="16"/>
      <w:r>
        <w:rPr>
          <w:b/>
        </w:rPr>
        <w:t>tabulka TPEG</w:t>
      </w:r>
      <w:r>
        <w:rPr/>
        <w:tab/>
        <w:br/>
        <w:t xml:space="preserve">tabulka obsahující výčet všech hodnot konkrétního atributu i s jejich popisem a příkladem </w:t>
      </w:r>
      <w:bookmarkStart w:id="17" w:name="h.4d34og8"/>
      <w:bookmarkEnd w:id="17"/>
    </w:p>
    <w:p>
      <w:pPr>
        <w:pStyle w:val="normal1"/>
        <w:rPr>
          <w:b/>
        </w:rPr>
      </w:pPr>
      <w:r>
        <w:rPr>
          <w:b/>
        </w:rPr>
        <w:t>stereotypování</w:t>
        <w:tab/>
        <w:br/>
      </w:r>
      <w:r>
        <w:rPr/>
        <w:t>mechanismus rozšíření modelu UML o nové prvky odvozené z původních prvků, ale s přiřazenými konkrétními hodnotami atributů, specifickým propojením více základních prvků dohromady apod.</w:t>
      </w:r>
    </w:p>
    <w:p>
      <w:pPr>
        <w:pStyle w:val="normal1"/>
        <w:rPr/>
      </w:pPr>
      <w:r>
        <w:t xml:space="preserve">Další termíny a zkratky z oboru ITS jsou obsaženy ve slovníku ITS terminology (www.ITSterminology.org).</w:t>
      </w:r>
    </w:p>
    <w:p>
      <w:pPr>
        <w:pStyle w:val="Heading1"/>
        <w:ind w:hanging="0" w:start="0"/>
        <w:rPr/>
      </w:pPr>
      <w:bookmarkStart w:id="18" w:name="h.igypoxv384ur"/>
      <w:bookmarkEnd w:id="18"/>
      <w:r>
        <w:rPr/>
        <w:t>4 Pravidla pro konverzi popisu z UML do binární reprezentace</w:t>
      </w:r>
    </w:p>
    <w:p>
      <w:pPr>
        <w:pStyle w:val="normal1"/>
        <w:rPr/>
      </w:pPr>
      <w:r>
        <w:rPr/>
        <w:t>Tato kapitola stanovuje veškerá pravidla, která jsou potřebná pro převod UML modelu aplikace TPEG do binární formy pro DAB vysílání. Texty, které mají být přímo (se záměnami klíčových slov) převzaty do cílové normy, jsou v popisovaném dokumentu zřetelně vyznačeny.</w:t>
      </w:r>
    </w:p>
    <w:p>
      <w:pPr>
        <w:pStyle w:val="normal1"/>
        <w:rPr/>
      </w:pPr>
      <w:r>
        <w:rPr>
          <w:b/>
        </w:rPr>
        <w:t>Kapitola 4.1</w:t>
      </w:r>
      <w:r>
        <w:rPr/>
        <w:t xml:space="preserve"> stanovuje popis binárního formátu, který bude normativní přílohou vytvářené normy (části specifikace), název přílohy je odvozen z názvu UML modelu. Struktura přílohy je stanovena na 4 kapitoly (úvod, rámec a signalizace, komponenty a datové struktury). Pro každou kapitolu přílohy je stanoven buď přímo obsah, nebo způsob jeho tvorby.</w:t>
      </w:r>
    </w:p>
    <w:p>
      <w:pPr>
        <w:pStyle w:val="normal1"/>
        <w:rPr/>
      </w:pPr>
      <w:r>
        <w:rPr/>
        <w:t>Pro úvod přílohy popisovaný dokument stanovuje výchozí text. Pro kapitolu rámec a signalizace je uvádí jak samotný text, tak strukturu, která se skládá ze tří částí (identifikace, signalizace čísla verze a rámec).</w:t>
      </w:r>
    </w:p>
    <w:p>
      <w:pPr>
        <w:pStyle w:val="normal1"/>
        <w:rPr/>
      </w:pPr>
      <w:r>
        <w:rPr/>
        <w:t xml:space="preserve">Část rámec stanovuje, jaká část služby (service component) bude vysílána. Části služby jsou definované v ISO/TS 21219-5. </w:t>
      </w:r>
    </w:p>
    <w:p>
      <w:pPr>
        <w:pStyle w:val="normal1"/>
        <w:rPr/>
      </w:pPr>
      <w:r>
        <w:rPr/>
        <w:t xml:space="preserve">Část komponenty uvádí způsob složení z položek datového modelu, které nejsou stereotypovány jako datová struktura (&lt;&lt;data structure&gt;&gt;). </w:t>
      </w:r>
    </w:p>
    <w:p>
      <w:pPr>
        <w:pStyle w:val="normal1"/>
        <w:rPr/>
      </w:pPr>
      <w:r>
        <w:rPr/>
        <w:t>Poslední část datové struktury obsahuje opět pouze popis složení, tentokrát z položek datového modelu, které jsou stereotypovány jako datová struktura (&lt;&lt;data structure&gt;&gt;). Binární reprezentace komponent a datových struktur se dále řídí pravidly definovanými v kapitole 4.5.</w:t>
      </w:r>
    </w:p>
    <w:p>
      <w:pPr>
        <w:pStyle w:val="normal1"/>
        <w:rPr/>
      </w:pPr>
      <w:r>
        <w:t xml:space="preserve">Článek 4.2 stanovuje pravidla pro převod abstraktních datových typů a stereotypů definovaných v pravidlech pro modelování aplikací TPEG pomocí UML (ISO/TS 21219-2), viz ukázka tabulky na následujícím obrázku.</w:t>
      </w:r>
    </w:p>
    <w:p>
      <w:pPr>
        <w:pStyle w:val="normal1"/>
        <w:jc w:val="center"/>
        <w:rPr/>
      </w:pPr>
      <w:r>
        <w:rPr>
          <w:lang w:val="en-US" w:eastAsia="en-US"/>
        </w:rPr>
        <w:drawing>
          <wp:inline distT="0" distB="0" distL="0" distR="0">
            <wp:extent cx="5207000" cy="3686810"/>
            <wp:effectExtent l="0" t="0" r="0" b="0"/>
            <wp:docPr id="1" name="image01.jp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01.jpg"/>
                    <pic:cNvPicPr>
                      <a:picLocks noChangeAspect="1" noChangeArrowheads="1"/>
                    </pic:cNvPicPr>
                  </pic:nvPicPr>
                  <pic:blipFill>
                    <a:blip r:embed="rId3"/>
                    <a:srcRect l="-3" t="-4" r="-3" b="-4"/>
                    <a:stretch>
                      <a:fillRect/>
                    </a:stretch>
                  </pic:blipFill>
                  <pic:spPr bwMode="auto">
                    <a:xfrm>
                      <a:off x="0" y="0"/>
                      <a:ext cx="5207000" cy="3686810"/>
                    </a:xfrm>
                    <a:prstGeom prst="rect">
                      <a:avLst/>
                    </a:prstGeom>
                    <a:noFill/>
                  </pic:spPr>
                </pic:pic>
              </a:graphicData>
            </a:graphic>
          </wp:inline>
        </w:drawing>
      </w:r>
    </w:p>
    <w:p>
      <w:pPr>
        <w:pStyle w:val="NadpisTabObr"/>
        <w:rPr/>
      </w:pPr>
      <w:r>
        <w:t xml:space="preserve">Obrázek 1 – </w:t>
      </w:r>
      <w:r>
        <w:t xml:space="preserve">Ukázka tabulky stanovující abstraktním typům v UML jejich binární reprezentaci</w:t>
      </w:r>
    </w:p>
    <w:p>
      <w:pPr>
        <w:pStyle w:val="normal1"/>
        <w:rPr/>
      </w:pPr>
      <w:r>
        <w:t xml:space="preserve">(článek 4.2 normy)</w:t>
      </w:r>
    </w:p>
    <w:p>
      <w:pPr>
        <w:pStyle w:val="normal1"/>
        <w:rPr>
          <w:b/>
        </w:rPr>
      </w:pPr>
      <w:r>
        <w:rPr>
          <w:b/>
        </w:rPr>
      </w:r>
    </w:p>
    <w:p>
      <w:pPr>
        <w:pStyle w:val="normal1"/>
        <w:rPr/>
      </w:pPr>
      <w:r>
        <w:t xml:space="preserve">Články 4.3 a 4.4 stanovují převod pole logických proměnných (pravda/nepravda) a tabulek TPEG do binární podoby.</w:t>
      </w:r>
    </w:p>
    <w:p>
      <w:pPr>
        <w:pStyle w:val="normal1"/>
        <w:rPr/>
      </w:pPr>
      <w:r>
        <w:rPr/>
      </w:r>
    </w:p>
    <w:p>
      <w:pPr>
        <w:pStyle w:val="Textnormy"/>
        <w:rPr/>
      </w:pPr>
      <w:r>
        <w:t xml:space="preserve">Článek 4.5 stanovuje pravidla pro převod datových typů složených pomocí vztahu “odkaz na” tzv. složené datové typy (compound data types). Je stanoveno 5 základních pravidel, přičemž pravidlo 4 se skládá z pěti dalších pravidel. Jedná se o následující pravidla uvádějící mimo jiné povinné prvky binárního formátu:</w:t>
      </w:r>
    </w:p>
    <w:p>
      <w:pPr>
        <w:pStyle w:val="normal1"/>
        <w:numPr>
          <w:ilvl w:val="0"/>
          <w:numId w:val="9"/>
        </w:numPr>
        <w:spacing w:before="0" w:after="120"/>
        <w:ind w:hanging="360" w:start="720" w:end="0"/>
        <w:contextualSpacing/>
        <w:rPr/>
      </w:pPr>
      <w:r>
        <w:rPr/>
        <w:t>pro převod třídy (identifikátor, délka celku/obsahu + další obsah) viz obrázek 2</w:t>
      </w:r>
    </w:p>
    <w:p>
      <w:pPr>
        <w:pStyle w:val="normal1"/>
        <w:numPr>
          <w:ilvl w:val="0"/>
          <w:numId w:val="9"/>
        </w:numPr>
        <w:spacing w:before="0" w:after="120"/>
        <w:ind w:hanging="360" w:start="720" w:end="0"/>
        <w:contextualSpacing/>
        <w:rPr/>
      </w:pPr>
      <w:r>
        <w:rPr/>
        <w:t>pro převod datové struktury (struktura na rozdíl od třídy začíná rovnou dalším obsahem)</w:t>
      </w:r>
    </w:p>
    <w:p>
      <w:pPr>
        <w:pStyle w:val="normal1"/>
        <w:numPr>
          <w:ilvl w:val="0"/>
          <w:numId w:val="9"/>
        </w:numPr>
        <w:spacing w:before="0" w:after="120"/>
        <w:ind w:hanging="360" w:start="720" w:end="0"/>
        <w:contextualSpacing/>
        <w:rPr/>
      </w:pPr>
      <w:r>
        <w:rPr/>
        <w:t>pro signalizaci volitelných položek (pomocí binárního logického pole)</w:t>
      </w:r>
    </w:p>
    <w:p>
      <w:pPr>
        <w:pStyle w:val="normal1"/>
        <w:numPr>
          <w:ilvl w:val="0"/>
          <w:numId w:val="9"/>
        </w:numPr>
        <w:spacing w:before="0" w:after="120"/>
        <w:ind w:hanging="360" w:start="720" w:end="0"/>
        <w:contextualSpacing/>
        <w:rPr/>
      </w:pPr>
      <w:r>
        <w:rPr/>
        <w:t>pro atributy:</w:t>
      </w:r>
    </w:p>
    <w:p>
      <w:pPr>
        <w:pStyle w:val="normal1"/>
        <w:numPr>
          <w:ilvl w:val="1"/>
          <w:numId w:val="9"/>
        </w:numPr>
        <w:spacing w:before="0" w:after="120"/>
        <w:ind w:hanging="360" w:start="1440" w:end="0"/>
        <w:contextualSpacing/>
        <w:rPr/>
      </w:pPr>
      <w:r>
        <w:rPr/>
        <w:t>pro konverzi datových atributů odkazuje na pravidla 1-3</w:t>
      </w:r>
    </w:p>
    <w:p>
      <w:pPr>
        <w:pStyle w:val="normal1"/>
        <w:numPr>
          <w:ilvl w:val="1"/>
          <w:numId w:val="9"/>
        </w:numPr>
        <w:spacing w:before="0" w:after="120"/>
        <w:ind w:hanging="360" w:start="1440" w:end="0"/>
        <w:contextualSpacing/>
        <w:rPr/>
      </w:pPr>
      <w:r>
        <w:rPr/>
        <w:t>pro řazení (musí být zachováno)</w:t>
      </w:r>
    </w:p>
    <w:p>
      <w:pPr>
        <w:pStyle w:val="normal1"/>
        <w:numPr>
          <w:ilvl w:val="1"/>
          <w:numId w:val="9"/>
        </w:numPr>
        <w:spacing w:before="0" w:after="120"/>
        <w:ind w:hanging="360" w:start="1440" w:end="0"/>
        <w:contextualSpacing/>
        <w:rPr/>
      </w:pPr>
      <w:r>
        <w:rPr/>
        <w:t>pro jednoduchou multiplicitu (atribut je vždy přítomen)</w:t>
      </w:r>
    </w:p>
    <w:p>
      <w:pPr>
        <w:pStyle w:val="normal1"/>
        <w:numPr>
          <w:ilvl w:val="1"/>
          <w:numId w:val="9"/>
        </w:numPr>
        <w:spacing w:before="0" w:after="120"/>
        <w:ind w:hanging="360" w:start="1440" w:end="0"/>
        <w:contextualSpacing/>
        <w:rPr/>
      </w:pPr>
      <w:r>
        <w:rPr/>
        <w:t>pro vícenásobnou multiplicitu [0 .. n] či [1 .. n] (relativně složité pravidlo)</w:t>
      </w:r>
    </w:p>
    <w:p>
      <w:pPr>
        <w:pStyle w:val="normal1"/>
        <w:numPr>
          <w:ilvl w:val="1"/>
          <w:numId w:val="9"/>
        </w:numPr>
        <w:spacing w:before="0" w:after="120"/>
        <w:ind w:hanging="360" w:start="1440" w:end="0"/>
        <w:contextualSpacing/>
        <w:rPr/>
      </w:pPr>
      <w:r>
        <w:rPr/>
        <w:t>pro multiplicitu [0 .. 1]</w:t>
      </w:r>
    </w:p>
    <w:p>
      <w:pPr>
        <w:pStyle w:val="normal1"/>
        <w:spacing w:before="0" w:after="120"/>
        <w:ind w:start="1440" w:end="0"/>
        <w:contextualSpacing/>
        <w:rPr/>
      </w:pPr>
      <w:r>
        <w:rPr/>
      </w:r>
    </w:p>
    <w:p>
      <w:pPr>
        <w:pStyle w:val="normal1"/>
        <w:jc w:val="center"/>
        <w:rPr/>
      </w:pPr>
      <w:r>
        <w:rPr>
          <w:lang w:val="en-US" w:eastAsia="en-US"/>
        </w:rPr>
        <w:drawing>
          <wp:inline distT="0" distB="0" distL="0" distR="0">
            <wp:extent cx="5764530" cy="1525270"/>
            <wp:effectExtent l="0" t="0" r="0" b="0"/>
            <wp:docPr id="2" name="image05.jp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05.jpg"/>
                    <pic:cNvPicPr>
                      <a:picLocks noChangeAspect="1" noChangeArrowheads="1"/>
                    </pic:cNvPicPr>
                  </pic:nvPicPr>
                  <pic:blipFill>
                    <a:blip r:embed="rId4"/>
                    <a:srcRect l="-2" t="-9" r="-2" b="-9"/>
                    <a:stretch>
                      <a:fillRect/>
                    </a:stretch>
                  </pic:blipFill>
                  <pic:spPr bwMode="auto">
                    <a:xfrm>
                      <a:off x="0" y="0"/>
                      <a:ext cx="5764530" cy="1525270"/>
                    </a:xfrm>
                    <a:prstGeom prst="rect">
                      <a:avLst/>
                    </a:prstGeom>
                    <a:noFill/>
                  </pic:spPr>
                </pic:pic>
              </a:graphicData>
            </a:graphic>
          </wp:inline>
        </w:drawing>
      </w:r>
    </w:p>
    <w:p>
      <w:pPr>
        <w:pStyle w:val="NadpisTabObr"/>
        <w:rPr/>
      </w:pPr>
      <w:r>
        <w:t xml:space="preserve">Obrázek 2 – </w:t>
      </w:r>
      <w:r>
        <w:t xml:space="preserve">Pravidlo (1) pro převod obecné třídy do binární podoby (článek 4.5.1 normy)</w:t>
      </w:r>
    </w:p>
    <w:p>
      <w:pPr>
        <w:pStyle w:val="normal1"/>
        <w:rPr/>
      </w:pPr>
      <w:r>
        <w:t xml:space="preserve">Články 4.6 a 4.7 stanovují převod datových typů složených pomocí vztahu “agregace” (aggregation) viz obrázek 3 a “kompozice” (composition) a převod odvozených datových typů a abstraktních tříd.</w:t>
      </w:r>
    </w:p>
    <w:p>
      <w:pPr>
        <w:pStyle w:val="normal1"/>
        <w:rPr/>
      </w:pPr>
      <w:r>
        <w:rPr/>
      </w:r>
    </w:p>
    <w:p>
      <w:pPr>
        <w:pStyle w:val="normal1"/>
        <w:jc w:val="center"/>
        <w:rPr/>
      </w:pPr>
      <w:r>
        <w:rPr>
          <w:lang w:val="en-US" w:eastAsia="en-US"/>
        </w:rPr>
        <w:drawing>
          <wp:inline distT="0" distB="0" distL="0" distR="0">
            <wp:extent cx="5764530" cy="1890395"/>
            <wp:effectExtent l="0" t="0" r="0" b="0"/>
            <wp:docPr id="3" name="image04.jp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04.jpg"/>
                    <pic:cNvPicPr>
                      <a:picLocks noChangeAspect="1" noChangeArrowheads="1"/>
                    </pic:cNvPicPr>
                  </pic:nvPicPr>
                  <pic:blipFill>
                    <a:blip r:embed="rId5"/>
                    <a:srcRect l="-2" t="-7" r="-2" b="-7"/>
                    <a:stretch>
                      <a:fillRect/>
                    </a:stretch>
                  </pic:blipFill>
                  <pic:spPr bwMode="auto">
                    <a:xfrm>
                      <a:off x="0" y="0"/>
                      <a:ext cx="5764530" cy="1890395"/>
                    </a:xfrm>
                    <a:prstGeom prst="rect">
                      <a:avLst/>
                    </a:prstGeom>
                    <a:noFill/>
                  </pic:spPr>
                </pic:pic>
              </a:graphicData>
            </a:graphic>
          </wp:inline>
        </w:drawing>
      </w:r>
    </w:p>
    <w:p>
      <w:pPr>
        <w:pStyle w:val="NadpisTabObr"/>
        <w:rPr/>
      </w:pPr>
      <w:bookmarkStart w:id="19" w:name="h.17dp8vu"/>
      <w:bookmarkEnd w:id="19"/>
      <w:r>
        <w:t xml:space="preserve">Obrázek 3 – </w:t>
      </w:r>
      <w:r>
        <w:t xml:space="preserve">Ukázka pravidla (5) pro převod datových typů složených pomocí vztahu “agregace” do binární podoby (článek 4.6 normy)</w:t>
      </w:r>
    </w:p>
    <w:p>
      <w:pPr>
        <w:pStyle w:val="Heading1"/>
        <w:ind w:hanging="0" w:start="0"/>
        <w:rPr/>
      </w:pPr>
      <w:bookmarkStart w:id="20" w:name="h.ie2heonoekpp"/>
      <w:bookmarkEnd w:id="20"/>
      <w:r>
        <w:rPr/>
        <w:t>Literatura</w:t>
      </w:r>
    </w:p>
    <w:p>
      <w:pPr>
        <w:pStyle w:val="normal1"/>
        <w:rPr/>
      </w:pPr>
      <w:r>
        <w:t xml:space="preserve">Tato kapitola uvádí 1 zdroj, který byl využit při tvorbě technické specifikace.</w:t>
      </w:r>
    </w:p>
    <w:p>
      <w:pPr>
        <w:pStyle w:val="normal1"/>
        <w:spacing w:lineRule="auto" w:line="276"/>
        <w:rPr/>
      </w:pPr>
      <w:r>
        <w:rPr/>
      </w:r>
    </w:p>
    <w:p>
      <w:pPr>
        <w:pStyle w:val="normal1"/>
        <w:spacing w:lineRule="auto" w:line="276"/>
        <w:rPr/>
      </w:pPr>
      <w:r>
        <w:rPr/>
      </w:r>
    </w:p>
    <w:p>
      <w:pPr>
        <w:pStyle w:val="Normal"/>
        <w:rPr/>
      </w:pPr>
      <w:r>
        <w:rPr/>
      </w:r>
    </w:p>
    <w:sectPr>
      <w:footerReference w:type="even" r:id="rId6"/>
      <w:footerReference w:type="default" r:id="rId7"/>
      <w:type w:val="nextPage"/>
      <w:pgSz w:w="11906" w:h="16838"/>
      <w:pgMar w:left="1021" w:right="96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360" w:end="360"/>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start w:val="1"/>
      <w:numFmt w:val="lowerLetter"/>
      <w:lvlText w:val="%1)"/>
      <w:lvlJc w:val="start"/>
      <w:pPr>
        <w:tabs>
          <w:tab w:val="num" w:pos="360"/>
        </w:tabs>
        <w:ind w:start="284" w:hanging="284"/>
      </w:pPr>
    </w:lvl>
  </w:abstractNum>
  <w:abstractNum w:abstractNumId="4">
    <w:lvl w:ilvl="0">
      <w:start w:val="1"/>
      <w:numFmt w:val="decimal"/>
      <w:lvlText w:val="[%1]"/>
      <w:lvlJc w:val="start"/>
      <w:pPr>
        <w:tabs>
          <w:tab w:val="num" w:pos="360"/>
        </w:tabs>
        <w:ind w:start="360" w:hanging="360"/>
      </w:pPr>
    </w:lvl>
  </w:abstractNum>
  <w:abstractNum w:abstractNumId="5">
    <w:lvl w:ilvl="0">
      <w:start w:val="1"/>
      <w:numFmt w:val="decimal"/>
      <w:lvlText w:val="%1."/>
      <w:lvlJc w:val="start"/>
      <w:pPr>
        <w:tabs>
          <w:tab w:val="num" w:pos="709"/>
        </w:tabs>
        <w:ind w:start="720" w:firstLine="360"/>
      </w:pPr>
      <w:rPr>
        <w:u w:val="none"/>
      </w:rPr>
    </w:lvl>
    <w:lvl w:ilvl="1">
      <w:start w:val="1"/>
      <w:numFmt w:val="lowerLetter"/>
      <w:lvlText w:val="%2."/>
      <w:lvlJc w:val="start"/>
      <w:pPr>
        <w:tabs>
          <w:tab w:val="num" w:pos="0"/>
        </w:tabs>
        <w:ind w:start="1440" w:firstLine="1080"/>
      </w:pPr>
      <w:rPr>
        <w:u w:val="none"/>
      </w:rPr>
    </w:lvl>
    <w:lvl w:ilvl="2">
      <w:start w:val="1"/>
      <w:numFmt w:val="lowerRoman"/>
      <w:lvlText w:val="%3."/>
      <w:lvlJc w:val="end"/>
      <w:pPr>
        <w:tabs>
          <w:tab w:val="num" w:pos="0"/>
        </w:tabs>
        <w:ind w:start="2160" w:firstLine="1800"/>
      </w:pPr>
      <w:rPr>
        <w:u w:val="none"/>
      </w:rPr>
    </w:lvl>
    <w:lvl w:ilvl="3">
      <w:start w:val="1"/>
      <w:numFmt w:val="decimal"/>
      <w:lvlText w:val="%4."/>
      <w:lvlJc w:val="start"/>
      <w:pPr>
        <w:tabs>
          <w:tab w:val="num" w:pos="0"/>
        </w:tabs>
        <w:ind w:start="2880" w:firstLine="2520"/>
      </w:pPr>
      <w:rPr>
        <w:u w:val="none"/>
      </w:rPr>
    </w:lvl>
    <w:lvl w:ilvl="4">
      <w:start w:val="1"/>
      <w:numFmt w:val="lowerLetter"/>
      <w:lvlText w:val="%5."/>
      <w:lvlJc w:val="start"/>
      <w:pPr>
        <w:tabs>
          <w:tab w:val="num" w:pos="0"/>
        </w:tabs>
        <w:ind w:start="3600" w:firstLine="3240"/>
      </w:pPr>
      <w:rPr>
        <w:u w:val="none"/>
      </w:rPr>
    </w:lvl>
    <w:lvl w:ilvl="5">
      <w:start w:val="1"/>
      <w:numFmt w:val="lowerRoman"/>
      <w:lvlText w:val="%6."/>
      <w:lvlJc w:val="end"/>
      <w:pPr>
        <w:tabs>
          <w:tab w:val="num" w:pos="0"/>
        </w:tabs>
        <w:ind w:start="4320" w:firstLine="3960"/>
      </w:pPr>
      <w:rPr>
        <w:u w:val="none"/>
      </w:rPr>
    </w:lvl>
    <w:lvl w:ilvl="6">
      <w:start w:val="1"/>
      <w:numFmt w:val="decimal"/>
      <w:lvlText w:val="%7."/>
      <w:lvlJc w:val="start"/>
      <w:pPr>
        <w:tabs>
          <w:tab w:val="num" w:pos="0"/>
        </w:tabs>
        <w:ind w:start="5040" w:firstLine="4680"/>
      </w:pPr>
      <w:rPr>
        <w:u w:val="none"/>
      </w:rPr>
    </w:lvl>
    <w:lvl w:ilvl="7">
      <w:start w:val="1"/>
      <w:numFmt w:val="lowerLetter"/>
      <w:lvlText w:val="%8."/>
      <w:lvlJc w:val="start"/>
      <w:pPr>
        <w:tabs>
          <w:tab w:val="num" w:pos="0"/>
        </w:tabs>
        <w:ind w:start="5760" w:firstLine="5400"/>
      </w:pPr>
      <w:rPr>
        <w:u w:val="none"/>
      </w:rPr>
    </w:lvl>
    <w:lvl w:ilvl="8">
      <w:start w:val="1"/>
      <w:numFmt w:val="lowerRoman"/>
      <w:lvlText w:val="%9."/>
      <w:lvlJc w:val="end"/>
      <w:pPr>
        <w:tabs>
          <w:tab w:val="num" w:pos="0"/>
        </w:tabs>
        <w:ind w:start="6480" w:firstLine="6120"/>
      </w:pPr>
      <w:rPr>
        <w:u w:val="none"/>
      </w:rPr>
    </w:lvl>
  </w:abstractNum>
  <w:abstractNum w:abstractNumId="6">
    <w:lvl w:ilvl="0">
      <w:start w:val="1"/>
      <w:numFmt w:val="decimal"/>
      <w:lvlText w:val="%1."/>
      <w:lvlJc w:val="start"/>
      <w:pPr>
        <w:tabs>
          <w:tab w:val="num" w:pos="283"/>
        </w:tabs>
        <w:ind w:start="283" w:hanging="283"/>
      </w:pPr>
    </w:lvl>
  </w:abstractNum>
  <w:abstractNum w:abstractNumId="7">
    <w:lvl w:ilvl="0">
      <w:start w:val="1"/>
      <w:numFmt w:val="decimal"/>
      <w:lvlText w:val="%1)"/>
      <w:lvlJc w:val="start"/>
      <w:pPr>
        <w:tabs>
          <w:tab w:val="num" w:pos="360"/>
        </w:tabs>
        <w:ind w:start="284" w:hanging="284"/>
      </w:pPr>
    </w:lvl>
  </w:abstractNum>
  <w:abstractNum w:abstractNumId="8">
    <w:lvl w:ilvl="0">
      <w:start w:val="1"/>
      <w:numFmt w:val="lowerLetter"/>
      <w:lvlText w:val="%1)"/>
      <w:lvlJc w:val="start"/>
      <w:pPr>
        <w:tabs>
          <w:tab w:val="num" w:pos="360"/>
        </w:tabs>
        <w:ind w:start="284" w:hanging="284"/>
      </w:pPr>
    </w:lvl>
  </w:abstractNum>
  <w:abstractNum w:abstractNumId="9">
    <w:lvl w:ilvl="0">
      <w:start w:val="1"/>
      <w:numFmt w:val="decimal"/>
      <w:lvlText w:val="%1."/>
      <w:lvlJc w:val="start"/>
      <w:pPr>
        <w:tabs>
          <w:tab w:val="num" w:pos="709"/>
        </w:tabs>
        <w:ind w:start="720" w:firstLine="360"/>
      </w:pPr>
      <w:rPr>
        <w:u w:val="none"/>
      </w:rPr>
    </w:lvl>
    <w:lvl w:ilvl="1">
      <w:start w:val="1"/>
      <w:numFmt w:val="lowerLetter"/>
      <w:lvlText w:val="%2."/>
      <w:lvlJc w:val="start"/>
      <w:pPr>
        <w:tabs>
          <w:tab w:val="num" w:pos="709"/>
        </w:tabs>
        <w:ind w:start="1440" w:firstLine="1080"/>
      </w:pPr>
      <w:rPr>
        <w:u w:val="none"/>
      </w:rPr>
    </w:lvl>
    <w:lvl w:ilvl="2">
      <w:start w:val="1"/>
      <w:numFmt w:val="lowerRoman"/>
      <w:lvlText w:val="%3."/>
      <w:lvlJc w:val="end"/>
      <w:pPr>
        <w:tabs>
          <w:tab w:val="num" w:pos="0"/>
        </w:tabs>
        <w:ind w:start="2160" w:firstLine="1800"/>
      </w:pPr>
      <w:rPr>
        <w:u w:val="none"/>
      </w:rPr>
    </w:lvl>
    <w:lvl w:ilvl="3">
      <w:start w:val="1"/>
      <w:numFmt w:val="decimal"/>
      <w:lvlText w:val="%4."/>
      <w:lvlJc w:val="start"/>
      <w:pPr>
        <w:tabs>
          <w:tab w:val="num" w:pos="0"/>
        </w:tabs>
        <w:ind w:start="2880" w:firstLine="2520"/>
      </w:pPr>
      <w:rPr>
        <w:u w:val="none"/>
      </w:rPr>
    </w:lvl>
    <w:lvl w:ilvl="4">
      <w:start w:val="1"/>
      <w:numFmt w:val="lowerLetter"/>
      <w:lvlText w:val="%5."/>
      <w:lvlJc w:val="start"/>
      <w:pPr>
        <w:tabs>
          <w:tab w:val="num" w:pos="0"/>
        </w:tabs>
        <w:ind w:start="3600" w:firstLine="3240"/>
      </w:pPr>
      <w:rPr>
        <w:u w:val="none"/>
      </w:rPr>
    </w:lvl>
    <w:lvl w:ilvl="5">
      <w:start w:val="1"/>
      <w:numFmt w:val="lowerRoman"/>
      <w:lvlText w:val="%6."/>
      <w:lvlJc w:val="end"/>
      <w:pPr>
        <w:tabs>
          <w:tab w:val="num" w:pos="0"/>
        </w:tabs>
        <w:ind w:start="4320" w:firstLine="3960"/>
      </w:pPr>
      <w:rPr>
        <w:u w:val="none"/>
      </w:rPr>
    </w:lvl>
    <w:lvl w:ilvl="6">
      <w:start w:val="1"/>
      <w:numFmt w:val="decimal"/>
      <w:lvlText w:val="%7."/>
      <w:lvlJc w:val="start"/>
      <w:pPr>
        <w:tabs>
          <w:tab w:val="num" w:pos="0"/>
        </w:tabs>
        <w:ind w:start="5040" w:firstLine="4680"/>
      </w:pPr>
      <w:rPr>
        <w:u w:val="none"/>
      </w:rPr>
    </w:lvl>
    <w:lvl w:ilvl="7">
      <w:start w:val="1"/>
      <w:numFmt w:val="lowerLetter"/>
      <w:lvlText w:val="%8."/>
      <w:lvlJc w:val="start"/>
      <w:pPr>
        <w:tabs>
          <w:tab w:val="num" w:pos="0"/>
        </w:tabs>
        <w:ind w:start="5760" w:firstLine="5400"/>
      </w:pPr>
      <w:rPr>
        <w:u w:val="none"/>
      </w:rPr>
    </w:lvl>
    <w:lvl w:ilvl="8">
      <w:start w:val="1"/>
      <w:numFmt w:val="lowerRoman"/>
      <w:lvlText w:val="%9."/>
      <w:lvlJc w:val="end"/>
      <w:pPr>
        <w:tabs>
          <w:tab w:val="num" w:pos="0"/>
        </w:tabs>
        <w:ind w:start="6480" w:firstLine="6120"/>
      </w:pPr>
      <w:rPr>
        <w:u w:val="none"/>
      </w:rPr>
    </w:lvl>
  </w:abstractNum>
  <w:abstractNum w:abstractNumId="10">
    <w:lvl w:ilvl="0">
      <w:start w:val="1"/>
      <w:numFmt w:val="lowerLetter"/>
      <w:lvlText w:val="%1)"/>
      <w:lvlJc w:val="start"/>
      <w:pPr>
        <w:tabs>
          <w:tab w:val="num" w:pos="283"/>
        </w:tabs>
        <w:ind w:start="283" w:hanging="283"/>
      </w:pPr>
    </w:lvl>
  </w:abstractNum>
  <w:abstractNum w:abstractNumId="11">
    <w:lvl w:ilvl="0">
      <w:start w:val="1"/>
      <w:numFmt w:val="decimal"/>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0"/>
  <w:mirrorMargins/>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Arial" w:hAnsi="Arial" w:eastAsia="Times New Roman" w:cs="Arial"/>
      <w:color w:val="auto"/>
      <w:sz w:val="20"/>
      <w:szCs w:val="20"/>
      <w:lang w:val="cs-CZ" w:bidi="ar-SA" w:eastAsia="zh-CN"/>
    </w:rPr>
  </w:style>
  <w:style w:type="paragraph" w:styleId="Heading1">
    <w:name w:val="heading 1"/>
    <w:basedOn w:val="Nadpiskapitoly"/>
    <w:next w:val="Textnormy"/>
    <w:qFormat/>
    <w:pPr>
      <w:numPr>
        <w:ilvl w:val="0"/>
        <w:numId w:val="1"/>
      </w:numPr>
      <w:outlineLvl w:val="0"/>
    </w:pPr>
    <w:rPr/>
  </w:style>
  <w:style w:type="paragraph" w:styleId="Heading2">
    <w:name w:val="heading 2"/>
    <w:basedOn w:val="Nadpislnku"/>
    <w:next w:val="Textnormy"/>
    <w:qFormat/>
    <w:pPr>
      <w:numPr>
        <w:ilvl w:val="1"/>
        <w:numId w:val="1"/>
      </w:numPr>
      <w:outlineLvl w:val="1"/>
    </w:pPr>
    <w:rPr/>
  </w:style>
  <w:style w:type="paragraph" w:styleId="Heading3">
    <w:name w:val="heading 3"/>
    <w:basedOn w:val="Nadpislnku"/>
    <w:next w:val="Textnormy"/>
    <w:qFormat/>
    <w:pPr>
      <w:numPr>
        <w:ilvl w:val="2"/>
        <w:numId w:val="1"/>
      </w:numPr>
      <w:outlineLvl w:val="2"/>
    </w:pPr>
    <w:rPr/>
  </w:style>
  <w:style w:type="paragraph" w:styleId="Heading4">
    <w:name w:val="heading 4"/>
    <w:basedOn w:val="Nadpislnku"/>
    <w:next w:val="Textnormy"/>
    <w:qFormat/>
    <w:pPr>
      <w:numPr>
        <w:ilvl w:val="3"/>
        <w:numId w:val="1"/>
      </w:numPr>
      <w:outlineLvl w:val="3"/>
    </w:pPr>
    <w:rPr/>
  </w:style>
  <w:style w:type="paragraph" w:styleId="Heading5">
    <w:name w:val="heading 5"/>
    <w:basedOn w:val="Nadpislnku"/>
    <w:next w:val="Textnormy"/>
    <w:qFormat/>
    <w:pPr>
      <w:numPr>
        <w:ilvl w:val="4"/>
        <w:numId w:val="1"/>
      </w:numPr>
      <w:outlineLvl w:val="4"/>
    </w:pPr>
    <w:rPr/>
  </w:style>
  <w:style w:type="paragraph" w:styleId="Heading6">
    <w:name w:val="heading 6"/>
    <w:basedOn w:val="Nadpislnku"/>
    <w:next w:val="Textnormy"/>
    <w:qFormat/>
    <w:pPr>
      <w:numPr>
        <w:ilvl w:val="5"/>
        <w:numId w:val="1"/>
      </w:numPr>
      <w:outlineLvl w:val="5"/>
    </w:pPr>
    <w:rPr/>
  </w:style>
  <w:style w:type="paragraph" w:styleId="Heading7">
    <w:name w:val="heading 7"/>
    <w:basedOn w:val="Nadpislnku"/>
    <w:next w:val="Textnormy"/>
    <w:qFormat/>
    <w:pPr>
      <w:numPr>
        <w:ilvl w:val="6"/>
        <w:numId w:val="1"/>
      </w:numPr>
      <w:outlineLvl w:val="6"/>
    </w:pPr>
    <w:rPr/>
  </w:style>
  <w:style w:type="paragraph" w:styleId="Heading8">
    <w:name w:val="heading 8"/>
    <w:basedOn w:val="Nadpislnku"/>
    <w:next w:val="Textnormy"/>
    <w:qFormat/>
    <w:pPr>
      <w:numPr>
        <w:ilvl w:val="7"/>
        <w:numId w:val="1"/>
      </w:numPr>
      <w:outlineLvl w:val="7"/>
    </w:pPr>
    <w:rPr/>
  </w:style>
  <w:style w:type="paragraph" w:styleId="Heading9">
    <w:name w:val="heading 9"/>
    <w:basedOn w:val="Nadpislnku"/>
    <w:next w:val="Textnormy"/>
    <w:qFormat/>
    <w:pPr>
      <w:numPr>
        <w:ilvl w:val="8"/>
        <w:numId w:val="1"/>
      </w:numPr>
      <w:outlineLvl w:val="8"/>
    </w:pPr>
    <w:rPr/>
  </w:style>
  <w:style w:type="character" w:styleId="WW8Num1z0">
    <w:name w:val="WW8Num1z0"/>
    <w:qFormat/>
    <w:rPr>
      <w:rFonts w:ascii="Arial" w:hAnsi="Arial" w:cs="Arial"/>
    </w:rPr>
  </w:style>
  <w:style w:type="character" w:styleId="WW8Num4z0">
    <w:name w:val="WW8Num4z0"/>
    <w:qFormat/>
    <w:rPr>
      <w:rFonts w:ascii="Arial" w:hAnsi="Arial" w:eastAsia="Arial" w:cs="Arial"/>
      <w:position w:val="0"/>
      <w:sz w:val="24"/>
      <w:vertAlign w:val="baseline"/>
    </w:rPr>
  </w:style>
  <w:style w:type="character" w:styleId="WW8Num7z0">
    <w:name w:val="WW8Num7z0"/>
    <w:qFormat/>
    <w:rPr>
      <w:u w:val="none"/>
    </w:rPr>
  </w:style>
  <w:style w:type="character" w:styleId="WW8Num12z0">
    <w:name w:val="WW8Num12z0"/>
    <w:qFormat/>
    <w:rPr>
      <w:u w:val="none"/>
    </w:rPr>
  </w:style>
  <w:style w:type="character" w:styleId="Standardnpsmoodstavce">
    <w:name w:val="Standardní písmo odstavce"/>
    <w:qFormat/>
    <w:rPr/>
  </w:style>
  <w:style w:type="character" w:styleId="PageNumber">
    <w:name w:val="page number"/>
    <w:rPr>
      <w:rFonts w:ascii="Arial" w:hAnsi="Arial" w:cs="Arial"/>
      <w:sz w:val="18"/>
    </w:rPr>
  </w:style>
  <w:style w:type="character" w:styleId="FootnoteCharacters">
    <w:name w:val="Footnote Characters"/>
    <w:qFormat/>
    <w:rPr>
      <w:vertAlign w:val="superscript"/>
    </w:rPr>
  </w:style>
  <w:style w:type="character" w:styleId="TextnormyChar1">
    <w:name w:val="Text normy Char1"/>
    <w:qFormat/>
    <w:rPr>
      <w:rFonts w:ascii="Arial" w:hAnsi="Arial" w:cs="Arial"/>
      <w:lang w:val="cs-CZ" w:bidi="ar-SA"/>
    </w:rPr>
  </w:style>
  <w:style w:type="character" w:styleId="Odkaznakoment">
    <w:name w:val="Odkaz na komentář"/>
    <w:qFormat/>
    <w:rPr>
      <w:sz w:val="16"/>
      <w:szCs w:val="16"/>
    </w:rPr>
  </w:style>
  <w:style w:type="character" w:styleId="TextkomenteChar">
    <w:name w:val="Text komentáře Char"/>
    <w:qFormat/>
    <w:rPr>
      <w:rFonts w:ascii="Arial" w:hAnsi="Arial" w:cs="Arial"/>
      <w:lang w:val="cs-CZ" w:bidi="ar-SA"/>
    </w:rPr>
  </w:style>
  <w:style w:type="character" w:styleId="Nadpis1Char">
    <w:name w:val="Nadpis 1 Char"/>
    <w:qFormat/>
    <w:rPr>
      <w:rFonts w:ascii="Arial" w:hAnsi="Arial" w:cs="Arial"/>
      <w:b/>
      <w:sz w:val="24"/>
      <w:lang w:val="cs-CZ" w:bidi="ar-SA"/>
    </w:rPr>
  </w:style>
  <w:style w:type="character" w:styleId="TextnormyCharChar">
    <w:name w:val="Text normy Char Char"/>
    <w:qFormat/>
    <w:rPr>
      <w:rFonts w:ascii="Arial" w:hAnsi="Arial" w:cs="Arial"/>
      <w:lang w:val="cs-CZ" w:bidi="ar-SA"/>
    </w:rPr>
  </w:style>
  <w:style w:type="character" w:styleId="PedmtkomenteChar">
    <w:name w:val="Předmět komentáře Char"/>
    <w:qFormat/>
    <w:rPr>
      <w:rFonts w:ascii="Arial" w:hAnsi="Arial" w:cs="Arial"/>
      <w:b/>
      <w:bCs/>
      <w:lang w:val="cs-CZ" w:bidi="ar-SA"/>
    </w:rPr>
  </w:style>
  <w:style w:type="character" w:styleId="Hyperlink">
    <w:name w:val="Hyperlink"/>
    <w:rPr>
      <w:color w:val="0000FF"/>
      <w:u w:val="single"/>
    </w:rPr>
  </w:style>
  <w:style w:type="character" w:styleId="NzevChar">
    <w:name w:val="Název Char"/>
    <w:qFormat/>
    <w:rPr>
      <w:rFonts w:ascii="Arial" w:hAnsi="Arial" w:cs="Arial"/>
      <w:b/>
      <w:sz w:val="40"/>
      <w:szCs w:val="40"/>
    </w:rPr>
  </w:style>
  <w:style w:type="character" w:styleId="PodtitulChar">
    <w:name w:val="Podtitul Char"/>
    <w:qFormat/>
    <w:rPr>
      <w:rFonts w:ascii="Arial" w:hAnsi="Arial" w:eastAsia="Arial" w:cs="Arial"/>
      <w:b/>
      <w:color w:val="000000"/>
      <w:sz w:val="28"/>
      <w:szCs w:val="28"/>
    </w:rPr>
  </w:style>
  <w:style w:type="paragraph" w:styleId="Heading">
    <w:name w:val="Heading"/>
    <w:basedOn w:val="Normal"/>
    <w:next w:val="Normal"/>
    <w:qFormat/>
    <w:pPr>
      <w:tabs>
        <w:tab w:val="clear" w:pos="709"/>
        <w:tab w:val="left" w:pos="7080" w:leader="none"/>
        <w:tab w:val="right" w:pos="9923" w:leader="none"/>
      </w:tabs>
      <w:spacing w:before="0" w:after="60"/>
      <w:contextualSpacing/>
      <w:jc w:val="center"/>
    </w:pPr>
    <w:rPr>
      <w:b/>
      <w:sz w:val="40"/>
      <w:szCs w:val="40"/>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Nadpiskapitoly">
    <w:name w:val="Nadpis kapitoly"/>
    <w:basedOn w:val="Nadpislnku"/>
    <w:next w:val="Textnormy"/>
    <w:qFormat/>
    <w:pPr>
      <w:spacing w:before="240" w:after="180"/>
    </w:pPr>
    <w:rPr>
      <w:sz w:val="24"/>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NN-2-23">
    <w:name w:val="1StrNN-2-23"/>
    <w:basedOn w:val="1StrNN-1-23"/>
    <w:qFormat/>
    <w:pPr>
      <w:spacing w:before="480" w:after="0"/>
    </w:pPr>
    <w:rPr/>
  </w:style>
  <w:style w:type="paragraph" w:styleId="Cizojazynnzev">
    <w:name w:val="Cizojazyčný název"/>
    <w:basedOn w:val="Textnormy"/>
    <w:qFormat/>
    <w:pPr>
      <w:widowControl w:val="false"/>
      <w:suppressAutoHyphens w:val="true"/>
      <w:jc w:val="start"/>
    </w:pPr>
    <w:rPr>
      <w:sz w:val="18"/>
      <w:lang w:val="en-GB"/>
    </w:rPr>
  </w:style>
  <w:style w:type="paragraph" w:styleId="slovanseznam">
    <w:name w:val="Číslovaný seznam"/>
    <w:basedOn w:val="Textnormy"/>
    <w:qFormat/>
    <w:pPr>
      <w:numPr>
        <w:ilvl w:val="0"/>
        <w:numId w:val="6"/>
      </w:numPr>
      <w:ind w:hanging="284" w:start="284" w:end="0"/>
    </w:pPr>
    <w:rPr/>
  </w:style>
  <w:style w:type="paragraph" w:styleId="Index1">
    <w:name w:val="index 1"/>
    <w:basedOn w:val="Textnormy"/>
    <w:next w:val="Textnormy"/>
    <w:pPr>
      <w:tabs>
        <w:tab w:val="clear" w:pos="709"/>
        <w:tab w:val="right" w:pos="9923" w:leader="none"/>
      </w:tabs>
      <w:spacing w:before="0" w:after="60"/>
      <w:ind w:hanging="198" w:start="198" w:end="0"/>
      <w:jc w:val="start"/>
    </w:pPr>
    <w:rPr>
      <w:sz w:val="18"/>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Poznmka">
    <w:name w:val="Poznámka"/>
    <w:basedOn w:val="Textnormy"/>
    <w:next w:val="Textnormy"/>
    <w:qFormat/>
    <w:pPr>
      <w:spacing w:before="80" w:after="200"/>
    </w:pPr>
    <w:rPr>
      <w:sz w:val="18"/>
    </w:rPr>
  </w:style>
  <w:style w:type="paragraph" w:styleId="Seznampoznmek">
    <w:name w:val="Seznam poznámek"/>
    <w:basedOn w:val="Poznmka"/>
    <w:qFormat/>
    <w:pPr>
      <w:numPr>
        <w:ilvl w:val="0"/>
        <w:numId w:val="11"/>
      </w:numPr>
      <w:spacing w:before="0" w:after="120"/>
      <w:ind w:hanging="284" w:start="284"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Textnormy"/>
    <w:pPr/>
    <w:rPr>
      <w:sz w:val="18"/>
    </w:rPr>
  </w:style>
  <w:style w:type="paragraph" w:styleId="Footer">
    <w:name w:val="footer"/>
    <w:basedOn w:val="Textnormy"/>
    <w:pPr>
      <w:jc w:val="center"/>
    </w:pPr>
    <w:rPr>
      <w:sz w:val="18"/>
    </w:rPr>
  </w:style>
  <w:style w:type="paragraph" w:styleId="TOC1">
    <w:name w:val="toc 1"/>
    <w:basedOn w:val="Textnormy"/>
    <w:next w:val="Textnormy"/>
    <w:pPr>
      <w:tabs>
        <w:tab w:val="clear" w:pos="709"/>
        <w:tab w:val="right" w:pos="9752" w:leader="dot"/>
        <w:tab w:val="right" w:pos="9923" w:leader="none"/>
      </w:tabs>
      <w:ind w:hanging="567" w:start="567" w:end="0"/>
      <w:jc w:val="start"/>
    </w:pPr>
    <w:rPr>
      <w:sz w:val="18"/>
      <w:lang w:val="en-US" w:eastAsia="en-US"/>
    </w:rPr>
  </w:style>
  <w:style w:type="paragraph" w:styleId="TOC2">
    <w:name w:val="toc 2"/>
    <w:basedOn w:val="TOC1"/>
    <w:next w:val="Textnormy"/>
    <w:pPr/>
    <w:rPr/>
  </w:style>
  <w:style w:type="paragraph" w:styleId="slovanseznamvnorm">
    <w:name w:val="Číslovaný seznam v normě"/>
    <w:basedOn w:val="Textnormy"/>
    <w:qFormat/>
    <w:pPr>
      <w:numPr>
        <w:ilvl w:val="0"/>
        <w:numId w:val="7"/>
      </w:numPr>
      <w:tabs>
        <w:tab w:val="clear" w:pos="709"/>
      </w:tabs>
    </w:pPr>
    <w:rPr/>
  </w:style>
  <w:style w:type="paragraph" w:styleId="bibliografie">
    <w:name w:val="bibliografie"/>
    <w:basedOn w:val="slovanseznamvnorm"/>
    <w:next w:val="Textnormy"/>
    <w:qFormat/>
    <w:pPr>
      <w:numPr>
        <w:ilvl w:val="0"/>
        <w:numId w:val="4"/>
      </w:numPr>
      <w:ind w:hanging="567" w:start="567" w:end="0"/>
    </w:pPr>
    <w:rPr/>
  </w:style>
  <w:style w:type="paragraph" w:styleId="TOC3">
    <w:name w:val="toc 3"/>
    <w:basedOn w:val="TOC1"/>
    <w:next w:val="Textnormy"/>
    <w:pPr/>
    <w:rPr/>
  </w:style>
  <w:style w:type="paragraph" w:styleId="TOC4">
    <w:name w:val="toc 4"/>
    <w:basedOn w:val="TOC1"/>
    <w:next w:val="Textnormy"/>
    <w:pPr/>
    <w:rPr/>
  </w:style>
  <w:style w:type="paragraph" w:styleId="TOC6">
    <w:name w:val="toc 6"/>
    <w:basedOn w:val="TOC1"/>
    <w:next w:val="Textnormy"/>
    <w:pPr/>
    <w:rPr/>
  </w:style>
  <w:style w:type="paragraph" w:styleId="TOC7">
    <w:name w:val="toc 7"/>
    <w:basedOn w:val="TOC1"/>
    <w:next w:val="Textnormy"/>
    <w:pPr/>
    <w:rPr/>
  </w:style>
  <w:style w:type="paragraph" w:styleId="TOC8">
    <w:name w:val="toc 8"/>
    <w:basedOn w:val="TOC1"/>
    <w:next w:val="Textnormy"/>
    <w:pPr/>
    <w:rPr/>
  </w:style>
  <w:style w:type="paragraph" w:styleId="ABCseznamCZ">
    <w:name w:val="ABC seznamCZ"/>
    <w:basedOn w:val="Textnormy"/>
    <w:qFormat/>
    <w:pPr>
      <w:numPr>
        <w:ilvl w:val="0"/>
        <w:numId w:val="10"/>
      </w:numPr>
    </w:pPr>
    <w:rPr/>
  </w:style>
  <w:style w:type="paragraph" w:styleId="Seznamvnorm">
    <w:name w:val="Seznam v normě"/>
    <w:basedOn w:val="Textnormy"/>
    <w:qFormat/>
    <w:pPr>
      <w:numPr>
        <w:ilvl w:val="0"/>
        <w:numId w:val="2"/>
      </w:numPr>
      <w:tabs>
        <w:tab w:val="clear" w:pos="709"/>
      </w:tabs>
      <w:ind w:hanging="284" w:start="284" w:end="0"/>
    </w:pPr>
    <w:rPr/>
  </w:style>
  <w:style w:type="paragraph" w:styleId="Obrzek">
    <w:name w:val="Obrázek"/>
    <w:basedOn w:val="Textnormy"/>
    <w:next w:val="NadpisTabObr"/>
    <w:qFormat/>
    <w:pPr>
      <w:keepNext w:val="true"/>
      <w:spacing w:before="0" w:after="160"/>
      <w:jc w:val="center"/>
    </w:pPr>
    <w:rPr/>
  </w:style>
  <w:style w:type="paragraph" w:styleId="NadpisTabObr">
    <w:name w:val="NadpisTabObr"/>
    <w:basedOn w:val="Nadpislnku"/>
    <w:next w:val="Textnormy"/>
    <w:qFormat/>
    <w:pPr>
      <w:keepNext w:val="false"/>
      <w:jc w:val="center"/>
    </w:pPr>
    <w:rPr/>
  </w:style>
  <w:style w:type="paragraph" w:styleId="Abecednseznam">
    <w:name w:val="Abecední seznam"/>
    <w:basedOn w:val="Textnormy"/>
    <w:qFormat/>
    <w:pPr>
      <w:numPr>
        <w:ilvl w:val="0"/>
        <w:numId w:val="8"/>
      </w:numPr>
      <w:tabs>
        <w:tab w:val="clear" w:pos="709"/>
      </w:tabs>
    </w:pPr>
    <w:rPr/>
  </w:style>
  <w:style w:type="paragraph" w:styleId="FootnoteText">
    <w:name w:val="footnote text"/>
    <w:basedOn w:val="Poznmka"/>
    <w:pPr>
      <w:spacing w:before="60" w:after="0"/>
    </w:pPr>
    <w:rPr/>
  </w:style>
  <w:style w:type="paragraph" w:styleId="TOC9">
    <w:name w:val="toc 9"/>
    <w:basedOn w:val="Normal"/>
    <w:next w:val="Normal"/>
    <w:pPr>
      <w:ind w:hanging="0" w:start="1600" w:end="0"/>
    </w:pPr>
    <w:rPr/>
  </w:style>
  <w:style w:type="paragraph" w:styleId="1Str1Rad">
    <w:name w:val="1Str1Rad"/>
    <w:basedOn w:val="Textnormy"/>
    <w:qFormat/>
    <w:pPr>
      <w:widowControl w:val="false"/>
      <w:tabs>
        <w:tab w:val="clear" w:pos="709"/>
        <w:tab w:val="left" w:pos="7371" w:leader="none"/>
        <w:tab w:val="right" w:pos="9923" w:leader="none"/>
      </w:tabs>
    </w:pPr>
    <w:rPr/>
  </w:style>
  <w:style w:type="paragraph" w:styleId="esknorma">
    <w:name w:val="Česká norma"/>
    <w:basedOn w:val="Textnormy"/>
    <w:next w:val="1Str1Rad"/>
    <w:qFormat/>
    <w:pPr>
      <w:spacing w:before="0" w:after="0"/>
      <w:jc w:val="start"/>
    </w:pPr>
    <w:rPr>
      <w:sz w:val="28"/>
    </w:rPr>
  </w:style>
  <w:style w:type="paragraph" w:styleId="Tir">
    <w:name w:val="Tiráž"/>
    <w:basedOn w:val="Normal"/>
    <w:qFormat/>
    <w:pPr/>
    <w:rPr>
      <w:sz w:val="16"/>
      <w:lang w:val="en-US" w:eastAsia="en-US"/>
    </w:rPr>
  </w:style>
  <w:style w:type="paragraph" w:styleId="IndexHeading">
    <w:name w:val="index heading"/>
    <w:basedOn w:val="Textnormy"/>
    <w:next w:val="Index1"/>
    <w:pPr>
      <w:spacing w:before="120" w:after="60"/>
      <w:jc w:val="start"/>
    </w:pPr>
    <w:rPr>
      <w:b/>
      <w:sz w:val="18"/>
    </w:rPr>
  </w:style>
  <w:style w:type="paragraph" w:styleId="Texttabulky">
    <w:name w:val="Text tabulky"/>
    <w:basedOn w:val="Textnormy"/>
    <w:qFormat/>
    <w:pPr>
      <w:suppressAutoHyphens w:val="true"/>
      <w:spacing w:before="60" w:after="60"/>
      <w:jc w:val="start"/>
    </w:pPr>
    <w:rPr>
      <w:sz w:val="18"/>
    </w:rPr>
  </w:style>
  <w:style w:type="paragraph" w:styleId="1StrCopyright">
    <w:name w:val="1StrCopyright"/>
    <w:basedOn w:val="Footer"/>
    <w:qFormat/>
    <w:pPr>
      <w:tabs>
        <w:tab w:val="clear" w:pos="709"/>
        <w:tab w:val="left" w:pos="2155" w:leader="none"/>
        <w:tab w:val="right" w:pos="9923" w:leader="none"/>
      </w:tabs>
      <w:spacing w:before="0" w:after="0"/>
      <w:ind w:hanging="2126" w:start="2126" w:end="0"/>
      <w:jc w:val="start"/>
    </w:pPr>
    <w:rPr/>
  </w:style>
  <w:style w:type="paragraph" w:styleId="EvropNorma">
    <w:name w:val="EvropNorma"/>
    <w:basedOn w:val="Textnormy"/>
    <w:qFormat/>
    <w:pPr>
      <w:pageBreakBefore/>
      <w:pBdr>
        <w:bottom w:val="single" w:sz="6" w:space="6" w:color="000000"/>
      </w:pBdr>
      <w:tabs>
        <w:tab w:val="clear" w:pos="709"/>
        <w:tab w:val="left" w:pos="8505" w:leader="none"/>
      </w:tabs>
      <w:jc w:val="start"/>
    </w:pPr>
    <w:rPr>
      <w:b/>
      <w:kern w:val="2"/>
      <w:sz w:val="24"/>
    </w:rPr>
  </w:style>
  <w:style w:type="paragraph" w:styleId="ICS">
    <w:name w:val="ICS"/>
    <w:basedOn w:val="Textnormy"/>
    <w:qFormat/>
    <w:pPr>
      <w:tabs>
        <w:tab w:val="clear" w:pos="709"/>
        <w:tab w:val="right" w:pos="9923" w:leader="none"/>
      </w:tabs>
      <w:spacing w:before="0" w:after="480"/>
    </w:pPr>
    <w:rPr>
      <w:kern w:val="2"/>
    </w:rPr>
  </w:style>
  <w:style w:type="paragraph" w:styleId="NzNorCZ">
    <w:name w:val="NázNorCZ"/>
    <w:basedOn w:val="Textnormy"/>
    <w:next w:val="NzNorUS"/>
    <w:qFormat/>
    <w:pPr>
      <w:suppressAutoHyphens w:val="true"/>
      <w:spacing w:before="0" w:after="240"/>
      <w:ind w:hanging="0" w:start="1134" w:end="1134"/>
      <w:jc w:val="center"/>
    </w:pPr>
    <w:rPr>
      <w:b/>
    </w:rPr>
  </w:style>
  <w:style w:type="paragraph" w:styleId="NzNorUS">
    <w:name w:val="NázNorUS"/>
    <w:basedOn w:val="Textnormy"/>
    <w:next w:val="NzNorFraGer"/>
    <w:qFormat/>
    <w:pPr>
      <w:suppressAutoHyphens w:val="true"/>
      <w:spacing w:before="0" w:after="240"/>
      <w:ind w:hanging="0" w:start="1134" w:end="1134"/>
      <w:jc w:val="center"/>
    </w:pPr>
    <w:rPr>
      <w:lang w:val="en-GB"/>
    </w:rPr>
  </w:style>
  <w:style w:type="paragraph" w:styleId="NzNorFraGer">
    <w:name w:val="NázNorFraGer"/>
    <w:basedOn w:val="Textnormy"/>
    <w:next w:val="Textnormy"/>
    <w:qFormat/>
    <w:pPr>
      <w:tabs>
        <w:tab w:val="clear" w:pos="709"/>
        <w:tab w:val="left" w:pos="4536" w:leader="none"/>
      </w:tabs>
      <w:suppressAutoHyphens w:val="true"/>
      <w:spacing w:before="0" w:after="480"/>
      <w:jc w:val="start"/>
    </w:pPr>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1StrNN-3-23">
    <w:name w:val="1StrNN-3-23"/>
    <w:basedOn w:val="1StrNN-1-23"/>
    <w:qFormat/>
    <w:pPr>
      <w:spacing w:before="300" w:after="0"/>
    </w:pPr>
    <w:rPr/>
  </w:style>
  <w:style w:type="paragraph" w:styleId="1StrNN-X">
    <w:name w:val="1StrNN-X"/>
    <w:basedOn w:val="1StrNN-1-23"/>
    <w:qFormat/>
    <w:pPr>
      <w:spacing w:before="180" w:after="180"/>
    </w:pPr>
    <w:rPr/>
  </w:style>
  <w:style w:type="paragraph" w:styleId="Titulek">
    <w:name w:val="Titulek"/>
    <w:basedOn w:val="Normal"/>
    <w:next w:val="Normal"/>
    <w:qFormat/>
    <w:pPr>
      <w:spacing w:before="120" w:after="120"/>
    </w:pPr>
    <w:rPr>
      <w:b/>
    </w:rPr>
  </w:style>
  <w:style w:type="paragraph" w:styleId="1StrNN-1-4">
    <w:name w:val="1StrNN-1-4"/>
    <w:basedOn w:val="1StrNN-1-23"/>
    <w:qFormat/>
    <w:pPr>
      <w:spacing w:before="800" w:after="0"/>
    </w:pPr>
    <w:rPr/>
  </w:style>
  <w:style w:type="paragraph" w:styleId="1StrNN-2-4">
    <w:name w:val="1StrNN-2-4"/>
    <w:basedOn w:val="1StrNN-1-23"/>
    <w:qFormat/>
    <w:pPr/>
    <w:rPr/>
  </w:style>
  <w:style w:type="paragraph" w:styleId="1StrNN-3-4">
    <w:name w:val="1StrNN-3-4"/>
    <w:basedOn w:val="1StrNN-1-23"/>
    <w:qFormat/>
    <w:pPr>
      <w:spacing w:before="460" w:after="0"/>
    </w:pPr>
    <w:rPr/>
  </w:style>
  <w:style w:type="paragraph" w:styleId="1StrNN-4-4">
    <w:name w:val="1StrNN-4-4"/>
    <w:basedOn w:val="1StrNN-1-23"/>
    <w:qFormat/>
    <w:pPr>
      <w:spacing w:before="340" w:after="0"/>
    </w:pPr>
    <w:rPr/>
  </w:style>
  <w:style w:type="paragraph" w:styleId="ABCSeznamUS">
    <w:name w:val="ABC SeznamUS"/>
    <w:basedOn w:val="Textnormy"/>
    <w:qFormat/>
    <w:pPr>
      <w:numPr>
        <w:ilvl w:val="0"/>
        <w:numId w:val="3"/>
      </w:numPr>
      <w:tabs>
        <w:tab w:val="clear" w:pos="709"/>
      </w:tabs>
    </w:pPr>
    <w:rPr>
      <w:lang w:val="en-US"/>
    </w:rPr>
  </w:style>
  <w:style w:type="paragraph" w:styleId="TextnormyUS">
    <w:name w:val="Text normy US"/>
    <w:basedOn w:val="Textnormy"/>
    <w:qFormat/>
    <w:pPr>
      <w:spacing w:before="0" w:after="0"/>
    </w:pPr>
    <w:rPr>
      <w:lang w:val="en-US" w:eastAsia="en-US"/>
    </w:rPr>
  </w:style>
  <w:style w:type="paragraph" w:styleId="Textnormy1str">
    <w:name w:val="Text normy 1str"/>
    <w:basedOn w:val="Textnormy"/>
    <w:qFormat/>
    <w:pPr>
      <w:jc w:val="start"/>
    </w:pPr>
    <w:rPr/>
  </w:style>
  <w:style w:type="paragraph" w:styleId="1StrNN-4-3">
    <w:name w:val="1StrNN-4-3"/>
    <w:basedOn w:val="1StrNN-1-23"/>
    <w:qFormat/>
    <w:pPr>
      <w:spacing w:before="160" w:after="0"/>
    </w:pPr>
    <w:rPr/>
  </w:style>
  <w:style w:type="paragraph" w:styleId="Upozornn">
    <w:name w:val="Upozornění"/>
    <w:basedOn w:val="Normal"/>
    <w:qFormat/>
    <w:pPr>
      <w:jc w:val="both"/>
    </w:pPr>
    <w:rPr>
      <w:sz w:val="18"/>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Pedmtkomente">
    <w:name w:val="Předmět komentáře"/>
    <w:basedOn w:val="Textkomente"/>
    <w:next w:val="Textkomente"/>
    <w:qFormat/>
    <w:pPr/>
    <w:rPr>
      <w:b/>
      <w:bCs/>
    </w:rPr>
  </w:style>
  <w:style w:type="paragraph" w:styleId="normal1">
    <w:name w:val="normal1"/>
    <w:qFormat/>
    <w:pPr>
      <w:widowControl/>
      <w:bidi w:val="0"/>
      <w:spacing w:before="0" w:after="120"/>
      <w:jc w:val="both"/>
    </w:pPr>
    <w:rPr>
      <w:rFonts w:ascii="Arial" w:hAnsi="Arial" w:eastAsia="Arial" w:cs="Arial"/>
      <w:color w:val="000000"/>
      <w:sz w:val="20"/>
      <w:szCs w:val="20"/>
      <w:lang w:val="cs-CZ" w:bidi="ar-SA" w:eastAsia="zh-CN"/>
    </w:rPr>
  </w:style>
  <w:style w:type="paragraph" w:styleId="Subtitle">
    <w:name w:val="Subtitle"/>
    <w:basedOn w:val="normal1"/>
    <w:next w:val="normal1"/>
    <w:qFormat/>
    <w:pPr>
      <w:keepNext w:val="true"/>
      <w:keepLines/>
      <w:spacing w:before="180" w:after="180"/>
      <w:ind w:hanging="0" w:start="0" w:end="567"/>
      <w:contextualSpacing/>
    </w:pPr>
    <w:rPr>
      <w:b/>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tsterminology.org/"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hyperlink" Target="http://www.ITSterminology.or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Normy14i</Template>
  <TotalTime>24</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2015-12-11T13:56:00Z</dcterms:created>
  <dc:creator>lens</dc:creator>
  <dc:description/>
  <dc:language>en-US</dc:language>
  <cp:lastModifiedBy>lens</cp:lastModifiedBy>
  <cp:lastPrinted>2016-01-11T18:18:00Z</cp:lastPrinted>
  <dcterms:modified xsi:type="dcterms:W3CDTF">2016-01-11T17:24:00Z</dcterms:modified>
  <cp:revision>6</cp:revision>
  <dc:subject/>
  <dc:title/>
</cp:coreProperties>
</file>