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4: tpeg-ptiML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 xml:space="preserve">CEN ISO/TS 24530-4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 xml:space="preserve">Vydána 2006, 38 stran</w:t>
        <w:tab/>
        <w:t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4. částí souboru norem věnujících se standardizaci protokolu pro dopravu TPEG. Detailně popisuje aplikaci tpeg-ptiML: Informace o veřejné dopravě, za použití XML protokolu, její základní datovou strukturu a dále způsoby kódování a dekódování zpráv s informacemi o veřejné dopravě. </w:t>
      </w:r>
    </w:p>
    <w:p>
      <w:pPr>
        <w:pStyle w:val="Textnormy"/>
        <w:rPr/>
      </w:pPr>
      <w:r>
        <w:rPr/>
        <w:t xml:space="preserve">Cílem aplikace tpeg-ptiML je postihnout všechny druhy veřejné dopravy a to jak dopravy v rámci města tak i meziměstské. Aplikace byla vytvořena s ohledem na efektivitu a jazykovou nezávislost předávání informací o veřejné dopravě přímo od poskytovatele koncovému uživateli, dalším poskytovatelům služeb, vysílacím stanicím, apod.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TPEG-PTI (CEN ISO/TS 18234-5).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vysílání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širokopásmové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TPEG-PTI umožňuje popis jednotlivých služeb a dále také obecný popis trasy, služeb a širší oblasti. Informace o veřejné dopravě jsou většinou využívány v jednom z následujících případů: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elektronické informační tabule na zastávkách veřejné dopravy,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stavu sítě,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jednotlivých služeb,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aktuální zprávy.</w:t>
      </w:r>
    </w:p>
    <w:p>
      <w:pPr>
        <w:pStyle w:val="Textnormy"/>
        <w:rPr/>
      </w:pPr>
      <w:r>
        <w:rPr/>
        <w:t>Zprávy TPEG-PTI mohou být seskupovány tak, aby výsledná „prezentace“ měla charakter na který je uživatel zvyklý, např.: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nehodách,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zastávkách a konečných stanicích,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trase,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informace o jednotlivých službách.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18234-5.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 xml:space="preserve">association of radio industries and business – Japonská asociace průmyslu a obchodu rádií 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 xml:space="preserve"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PTI</w:t>
      </w:r>
      <w:r>
        <w:rPr/>
        <w:tab/>
        <w:tab/>
        <w:t xml:space="preserve">public transport information – dopravní informace o veřejné dopravě </w:t>
      </w:r>
    </w:p>
    <w:p>
      <w:pPr>
        <w:pStyle w:val="Textnormy"/>
        <w:ind w:hanging="1440" w:start="1440" w:end="0"/>
        <w:rPr>
          <w:b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  <w:r>
        <w:rPr>
          <w:b/>
        </w:rPr>
        <w:t xml:space="preserve">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  <w:tab/>
      </w:r>
      <w:r>
        <w:rPr>
          <w:spacing w:val="-2"/>
        </w:rPr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Pro kódování prvků je používán formát ptiX_Y, kdy X vyjadřuje číslo tabulky a Y číslo řádku v dané tabulce (například pti01_1).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11625" cy="18973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24" r="-11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25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Kapitola dále obsahuje 2 vzorové XML: „ Bezpečnostní výstraha na King´s Cross – všechny služby přerušeny“ a „Informace o speciální službě Expresu Hogwart“. </w:t>
      </w:r>
    </w:p>
    <w:p>
      <w:pPr>
        <w:pStyle w:val="Textnormy"/>
        <w:rPr>
          <w:color w:val="FF0000"/>
          <w:spacing w:val="-2"/>
        </w:rPr>
      </w:pPr>
      <w:r>
        <w:rPr>
          <w:color w:val="FF0000"/>
          <w:spacing w:val="-2"/>
        </w:rPr>
        <w:t xml:space="preserv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Aplikace tpeg-ptiML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Popis tpeg-ptiML je uveden v přílohách A a B: tpeg-ptiML.dtd a tpeg-ptiML.ent soubory.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kapitola přináší seznam hodnot, jakých může dosahovat a způsoby, jakými je možné prostřednictvím tpeg-ptiML předat informaci o: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frekvenci veřejné dopravy,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způsobu veřejné dopravy (dopravním prostředku, typu prostředku, typu dopravy, názvu dopravce),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informacích o službách (např. stav dané služby, možnost rezervace, frekvence, potřebná jízdenka, stavu služby, další poskytované služby, status rezervace, informace o jízdence, důvod události, druh jízdního řádu, popisu trasy - místo a čas doručení služby, specifikace, formát uvedeného času, den služby, specifikace trasy, atp.),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doplňujících informacích,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odkazu na navazující služby. </w:t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 seznamu hodnot, kterých může nabývat prvek „druhy dopravy“: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205605" cy="49879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605" cy="498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Příklady hodnot pro prvek „stav služby“: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377565" cy="316674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20" r="-19" b="-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5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tpeg-ptiML aplikace TPEG Informace o veřejné dopravě (tpeg-ptiML.dtd)</w:t>
      </w:r>
    </w:p>
    <w:p>
      <w:pPr>
        <w:pStyle w:val="Textnormy"/>
        <w:rPr>
          <w:color w:val="FF0000"/>
        </w:rPr>
      </w:pPr>
      <w:r>
        <w:rPr/>
        <w:t xml:space="preserve">Tato příloha obsahuje příklady zápisu jednotlivých prvků v XML struktuře. </w:t>
      </w:r>
      <w:r>
        <w:rPr>
          <w:color w:val="FF0000"/>
        </w:rPr>
        <w:t>Část vzorové XML struktury je uvedena níže: chybí originál</w:t>
      </w:r>
    </w:p>
    <w:p>
      <w:pPr>
        <w:pStyle w:val="Textnormy"/>
        <w:rPr>
          <w:spacing w:val="-2"/>
        </w:rPr>
      </w:pPr>
      <w:r>
        <w:rPr>
          <w:color w:val="FF0000"/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tpeg-ptiML – aplikace TPEG Informace o veřejné dopravě (tpeg-ptiML.ent).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Příloha obsahuje seznamy kódů jednotlivých atributů prvků, používaných v rámci tpeg-ptiML. </w:t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„typ dne“</w:t>
      </w:r>
      <w:r>
        <w:rPr>
          <w:spacing w:val="-2"/>
        </w:rPr>
        <w:t>:</w:t>
      </w:r>
    </w:p>
    <w:p>
      <w:pPr>
        <w:pStyle w:val="Normal"/>
        <w:jc w:val="center"/>
        <w:rPr/>
      </w:pPr>
      <w:r>
        <w:rPr/>
        <w:t xml:space="preserve">   </w:t>
      </w:r>
      <w:r>
        <w:rPr/>
        <w:drawing>
          <wp:inline distT="0" distB="0" distL="0" distR="0">
            <wp:extent cx="3519170" cy="276733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3" t="-30" r="-2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„lokalizaci trasy“</w:t>
      </w:r>
      <w:r>
        <w:rPr>
          <w:spacing w:val="-2"/>
        </w:rPr>
        <w:t>:</w:t>
      </w:r>
    </w:p>
    <w:p>
      <w:pPr>
        <w:pStyle w:val="Normal"/>
        <w:ind w:start="2124" w:end="0"/>
        <w:rPr/>
      </w:pPr>
      <w:r>
        <w:rPr/>
        <w:drawing>
          <wp:inline distT="0" distB="0" distL="0" distR="0">
            <wp:extent cx="3633470" cy="412940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412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7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Times New Roman" w:hAnsi="Times New Roman" w:eastAsia="Lucida Sans Unicode" w:cs="Times New Roman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Times New Roman" w:hAnsi="Times New Roman" w:eastAsia="Lucida Sans Unicode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2008-11-26T20:37:00Z</dcterms:modified>
  <cp:revision>2</cp:revision>
  <dc:subject/>
  <dc:title>ČESKÁ TECHNICKÁ NORMA</dc:title>
</cp:coreProperties>
</file>