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AAD460" w14:textId="77777777" w:rsidR="00290146" w:rsidRDefault="00290146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jc w:val="center"/>
        <w:rPr>
          <w:b/>
        </w:rPr>
      </w:pPr>
      <w:r>
        <w:rPr>
          <w:b/>
          <w:sz w:val="40"/>
          <w:szCs w:val="40"/>
        </w:rPr>
        <w:t xml:space="preserve">EXTRAKT z technické zprávy CEN</w:t>
      </w:r>
    </w:p>
    <w:p w14:paraId="45A25193" w14:textId="77777777" w:rsidR="00290146" w:rsidRDefault="00290146">
      <w:pPr>
        <w:pStyle w:val="Textnormy"/>
        <w:rPr>
          <w:sz w:val="16"/>
        </w:rPr>
      </w:pPr>
      <w:r>
        <w:rPr>
          <w:b/>
        </w:rPr>
        <w:t>Extrakt nenahrazuje samotnou technickou normu, je pouze informativním materiálem o normě.</w:t>
      </w:r>
    </w:p>
    <w:p w14:paraId="7F20410D" w14:textId="77777777" w:rsidR="00290146" w:rsidRDefault="00290146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</w:pPr>
      <w:r>
        <w:rPr>
          <w:sz w:val="16"/>
        </w:rPr>
        <w:t>ICS 03.220.20, 35.240.60</w:t>
      </w:r>
      <w:r>
        <w:tab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290146" w14:paraId="6DE7E427" w14:textId="77777777">
        <w:trPr>
          <w:cantSplit/>
          <w:trHeight w:val="1215"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 w14:paraId="136C88F6" w14:textId="77777777" w:rsidR="00290146" w:rsidRPr="001120CF" w:rsidRDefault="00290146" w:rsidP="001120CF">
            <w:pPr>
              <w:pStyle w:val="1StrCN"/>
              <w:rPr>
                <w:lang w:val="cs-CZ"/>
              </w:rPr>
            </w:pPr>
            <w:r>
              <w:t xml:space="preserve">Elektronický výběr mýtného – </w:t>
            </w:r>
            <w:r w:rsidR="00F55F0A" w:rsidRPr="005E46D0">
              <w:t xml:space="preserve">Požadavky na </w:t>
            </w:r>
            <w:r w:rsidR="001120CF">
              <w:rPr>
                <w:lang w:val="cs-CZ"/>
              </w:rPr>
              <w:t xml:space="preserve">Pre-Pay </w:t>
            </w:r>
            <w:r w:rsidR="00F55F0A" w:rsidRPr="005E46D0">
              <w:t>systém</w:t>
            </w:r>
            <w:r w:rsidR="001120CF">
              <w:rPr>
                <w:lang w:val="cs-CZ"/>
              </w:rPr>
              <w:t>y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 w14:paraId="45CEF4F2" w14:textId="77777777" w:rsidR="00290146" w:rsidRPr="00F55F0A" w:rsidRDefault="00F55F0A">
            <w:pPr>
              <w:pStyle w:val="1StrCN"/>
              <w:rPr>
                <w:lang w:val="cs-CZ"/>
              </w:rPr>
            </w:pPr>
            <w:r>
              <w:rPr>
                <w:lang w:val="cs-CZ"/>
              </w:rPr>
              <w:t>C</w:t>
            </w:r>
            <w:r w:rsidR="00290146">
              <w:t>EN/TR 16</w:t>
            </w:r>
            <w:r>
              <w:rPr>
                <w:lang w:val="cs-CZ"/>
              </w:rPr>
              <w:t>092</w:t>
            </w:r>
          </w:p>
          <w:p w14:paraId="2F97CEDE" w14:textId="77777777" w:rsidR="00290146" w:rsidRDefault="00290146">
            <w:pPr>
              <w:pStyle w:val="1StrTrZn"/>
            </w:pPr>
            <w:r>
              <w:t xml:space="preserve"/>
            </w:r>
          </w:p>
        </w:tc>
      </w:tr>
    </w:tbl>
    <w:p w14:paraId="74288D46" w14:textId="77777777" w:rsidR="00290146" w:rsidRDefault="00290146">
      <w:pPr>
        <w:pStyle w:val="Shodnost"/>
        <w:tabs>
          <w:tab w:val="left" w:pos="7920"/>
        </w:tabs>
        <w:rPr>
          <w:b/>
          <w:sz w:val="22"/>
          <w:szCs w:val="22"/>
        </w:rPr>
      </w:pPr>
      <w:r>
        <w:t xml:space="preserve">Vydána 2011, 40 stran</w:t>
      </w:r>
      <w:r w:rsidR="00F55F0A">
        <w:t xml:space="preserve"/>
      </w:r>
      <w:r>
        <w:tab/>
        <w:t/>
      </w:r>
      <w:r w:rsidR="00C65BA3">
        <w:t/>
      </w:r>
      <w:r>
        <w:t xml:space="preserve"/>
      </w:r>
    </w:p>
    <w:p w14:paraId="52C09FDA" w14:textId="77777777" w:rsidR="00290146" w:rsidRDefault="00290146" w:rsidP="00A14FC0">
      <w:pPr>
        <w:pStyle w:val="Nadpis1"/>
      </w:pPr>
      <w:r>
        <w:t>Úvod</w:t>
      </w:r>
    </w:p>
    <w:p w14:paraId="42C15DEA" w14:textId="77777777" w:rsidR="00A14FC0" w:rsidRPr="00A14FC0" w:rsidRDefault="00290146" w:rsidP="00A14FC0">
      <w:bookmarkStart w:id="0" w:name="result_box"/>
      <w:bookmarkEnd w:id="0"/>
      <w:r w:rsidRPr="00C65BA3">
        <w:t xml:space="preserve">Tato </w:t>
      </w:r>
      <w:r w:rsidRPr="00A14FC0">
        <w:t>technická zpráva se zaměřuje</w:t>
      </w:r>
      <w:r w:rsidR="00F7311D" w:rsidRPr="00A14FC0">
        <w:t xml:space="preserve"> na</w:t>
      </w:r>
      <w:r w:rsidRPr="00A14FC0">
        <w:t xml:space="preserve"> </w:t>
      </w:r>
      <w:r w:rsidR="00C65BA3" w:rsidRPr="00A14FC0">
        <w:t xml:space="preserve">rozbor možností systémů </w:t>
      </w:r>
      <w:proofErr w:type="spellStart"/>
      <w:r w:rsidR="001120CF" w:rsidRPr="00A14FC0">
        <w:t>Pre-Pay</w:t>
      </w:r>
      <w:proofErr w:type="spellEnd"/>
      <w:r w:rsidR="001120CF" w:rsidRPr="00A14FC0">
        <w:t xml:space="preserve"> (kreditu) schopných komunikovat </w:t>
      </w:r>
      <w:r w:rsidR="00C65BA3" w:rsidRPr="00A14FC0">
        <w:t>s OBE. Klasické mýtné schéma, kdy uživatel služby platí poskytovateli služby po jejím použití</w:t>
      </w:r>
      <w:r w:rsidR="001120CF" w:rsidRPr="00A14FC0">
        <w:t xml:space="preserve"> (Post-</w:t>
      </w:r>
      <w:proofErr w:type="spellStart"/>
      <w:r w:rsidR="001120CF" w:rsidRPr="00A14FC0">
        <w:t>Pay</w:t>
      </w:r>
      <w:proofErr w:type="spellEnd"/>
      <w:r w:rsidR="001120CF" w:rsidRPr="00A14FC0">
        <w:t>)</w:t>
      </w:r>
      <w:r w:rsidR="00C65BA3" w:rsidRPr="00A14FC0">
        <w:t xml:space="preserve">, nemusí být vhodné pro každého. </w:t>
      </w:r>
    </w:p>
    <w:p w14:paraId="0F3CAD2E" w14:textId="77777777" w:rsidR="00C65BA3" w:rsidRPr="00C65BA3" w:rsidRDefault="00225FF1" w:rsidP="00A14FC0">
      <w:r w:rsidRPr="00A14FC0">
        <w:t>Ve schématu Post-</w:t>
      </w:r>
      <w:proofErr w:type="spellStart"/>
      <w:r w:rsidRPr="00A14FC0">
        <w:t>Pay</w:t>
      </w:r>
      <w:proofErr w:type="spellEnd"/>
      <w:r w:rsidRPr="00A14FC0">
        <w:t xml:space="preserve"> p</w:t>
      </w:r>
      <w:r w:rsidR="00C65BA3" w:rsidRPr="00A14FC0">
        <w:t>oskytovatel služby musí mít v uživatele důvěru a uživatel musí mít bankovní účet</w:t>
      </w:r>
      <w:r w:rsidR="00F7311D" w:rsidRPr="00A14FC0">
        <w:t>.</w:t>
      </w:r>
      <w:r w:rsidR="00C65BA3" w:rsidRPr="00A14FC0">
        <w:t xml:space="preserve"> </w:t>
      </w:r>
      <w:r w:rsidR="00F7311D" w:rsidRPr="00A14FC0">
        <w:t>V </w:t>
      </w:r>
      <w:r w:rsidR="00C65BA3" w:rsidRPr="00A14FC0">
        <w:t>případě že nastane situace</w:t>
      </w:r>
      <w:r w:rsidR="00F7311D" w:rsidRPr="00A14FC0">
        <w:t>,</w:t>
      </w:r>
      <w:r w:rsidR="00C65BA3" w:rsidRPr="00A14FC0">
        <w:t xml:space="preserve"> kdy si uživatel nemůže/nechce založit účet či z nějakého důvodu není pro poskytovatele důvěryhodný</w:t>
      </w:r>
      <w:r w:rsidR="007D2879" w:rsidRPr="00A14FC0">
        <w:t>, nebo prostě chce zůstat v anonymitě</w:t>
      </w:r>
      <w:r w:rsidR="00C65BA3" w:rsidRPr="00A14FC0">
        <w:t>, ztrácí v klasickém schématu možnost systém používat</w:t>
      </w:r>
      <w:r w:rsidR="00C65BA3">
        <w:t>. V</w:t>
      </w:r>
      <w:r w:rsidR="007D2879">
        <w:t> </w:t>
      </w:r>
      <w:r w:rsidR="00C65BA3">
        <w:t>tako</w:t>
      </w:r>
      <w:r w:rsidR="007D2879">
        <w:t xml:space="preserve">vém případě je výhodné mít další volitelné systémy platby za použití služby, tedy systém </w:t>
      </w:r>
      <w:r w:rsidR="001120CF">
        <w:t>Pre-Pay</w:t>
      </w:r>
      <w:r w:rsidR="007D2879">
        <w:t xml:space="preserve"> (kreditu) – stejně jak</w:t>
      </w:r>
      <w:r w:rsidR="00C65BA3">
        <w:t xml:space="preserve"> </w:t>
      </w:r>
      <w:r w:rsidR="007D2879">
        <w:t>je tomu v mobilní telefonii.</w:t>
      </w:r>
    </w:p>
    <w:p w14:paraId="42C15DEA" w14:textId="77777777" w:rsidR="00A14FC0" w:rsidRPr="00A14FC0" w:rsidRDefault="00290146" w:rsidP="00A14FC0">
      <w:r>
        <w:t xml:space="preserve">Poznámka: Extrakt uvádí vybrané kapitoly popisovaného dokumentu a přejímá původní číslování kapitol.</w:t>
      </w:r>
    </w:p>
    <w:p w14:paraId="25CC8904" w14:textId="77777777" w:rsidR="00C65BA3" w:rsidRDefault="00C65BA3" w:rsidP="00A14FC0">
      <w:pPr>
        <w:rPr>
          <w:highlight w:val="yellow"/>
        </w:rPr>
      </w:pPr>
    </w:p>
    <w:p w14:paraId="32B126FC" w14:textId="77777777" w:rsidR="00290146" w:rsidRPr="00A14FC0" w:rsidRDefault="00290146" w:rsidP="00A14FC0">
      <w:pPr>
        <w:pStyle w:val="Nadpis1"/>
      </w:pPr>
      <w:r w:rsidRPr="00A14FC0">
        <w:t>Užití</w:t>
      </w:r>
    </w:p>
    <w:p w14:paraId="513164CB" w14:textId="77777777" w:rsidR="00522A3D" w:rsidRPr="0028241D" w:rsidRDefault="00522A3D" w:rsidP="00A14FC0">
      <w:r w:rsidRPr="0028241D">
        <w:t>Tato zpráva je důležitá hlavně pro poskytovatele služby EETS</w:t>
      </w:r>
      <w:r w:rsidR="00343E95">
        <w:t xml:space="preserve">, kteří chtějí zavádět </w:t>
      </w:r>
      <w:proofErr w:type="spellStart"/>
      <w:r w:rsidR="00343E95">
        <w:t>Pre-Pay</w:t>
      </w:r>
      <w:proofErr w:type="spellEnd"/>
      <w:r w:rsidRPr="0028241D">
        <w:t xml:space="preserve"> </w:t>
      </w:r>
      <w:r w:rsidR="00343E95">
        <w:t>model jako alternativu k Post-</w:t>
      </w:r>
      <w:proofErr w:type="spellStart"/>
      <w:r w:rsidR="00343E95">
        <w:t>Pay</w:t>
      </w:r>
      <w:proofErr w:type="spellEnd"/>
      <w:r w:rsidR="00343E95">
        <w:t xml:space="preserve"> modelu. Jejím přečtením získá čtenář představu, jaké jsou požadavky a nároky </w:t>
      </w:r>
      <w:proofErr w:type="spellStart"/>
      <w:r w:rsidR="00343E95">
        <w:t>Pre-Pay</w:t>
      </w:r>
      <w:proofErr w:type="spellEnd"/>
      <w:r w:rsidR="00343E95">
        <w:t xml:space="preserve"> modelů</w:t>
      </w:r>
      <w:r w:rsidR="00F7311D">
        <w:t>,</w:t>
      </w:r>
      <w:r w:rsidR="00343E95">
        <w:t xml:space="preserve"> a to jak s centrálním účtem tak i s účtem na OBE. Zpráva sice jako taková neřeší problematiku do takového detailu, že by model </w:t>
      </w:r>
      <w:proofErr w:type="spellStart"/>
      <w:r w:rsidR="00343E95">
        <w:t>Pre-Pay</w:t>
      </w:r>
      <w:proofErr w:type="spellEnd"/>
      <w:r w:rsidR="00343E95">
        <w:t xml:space="preserve"> umožnila zavést, ale poskytuje </w:t>
      </w:r>
      <w:r w:rsidR="00F7311D">
        <w:t xml:space="preserve">dostatek </w:t>
      </w:r>
      <w:r w:rsidR="00343E95">
        <w:t xml:space="preserve">vodítek s odkazy na to, kde se daná problematika řeší detailněji. Bez této zprávy by si poskytovatel musel podobnou studii vypracovat sám a mohlo by to vést k rozdílným řešením v různých mýtných doménách. Zajímavostí </w:t>
      </w:r>
      <w:r w:rsidR="00F7311D">
        <w:t>t</w:t>
      </w:r>
      <w:r w:rsidR="00343E95">
        <w:t>éto zprávy je i rozbor pohledů na službu mýtného z úhlu placení či neplacení DPH.</w:t>
      </w:r>
    </w:p>
    <w:p w14:paraId="6EF49204" w14:textId="77777777" w:rsidR="00290146" w:rsidRPr="0028241D" w:rsidRDefault="00343E95" w:rsidP="00A14FC0">
      <w:pPr>
        <w:rPr>
          <w:b/>
        </w:rPr>
      </w:pPr>
      <w:r w:rsidRPr="00343E95">
        <w:t xml:space="preserve">Tato zpráva je zásadní </w:t>
      </w:r>
      <w:r w:rsidRPr="00343E95">
        <w:rPr>
          <w:b/>
        </w:rPr>
        <w:t>p</w:t>
      </w:r>
      <w:r w:rsidR="00522A3D" w:rsidRPr="0028241D">
        <w:rPr>
          <w:b/>
        </w:rPr>
        <w:t xml:space="preserve">ro </w:t>
      </w:r>
      <w:r>
        <w:rPr>
          <w:b/>
        </w:rPr>
        <w:t xml:space="preserve">poskytovatele služby mýtného, </w:t>
      </w:r>
      <w:r w:rsidRPr="00343E95">
        <w:t xml:space="preserve">kteří uvažují o zavedení </w:t>
      </w:r>
      <w:proofErr w:type="spellStart"/>
      <w:r w:rsidRPr="00343E95">
        <w:t>Pre-Pay</w:t>
      </w:r>
      <w:proofErr w:type="spellEnd"/>
      <w:r w:rsidRPr="00343E95">
        <w:t xml:space="preserve"> modelu plateb za mýtné služby.</w:t>
      </w:r>
      <w:r w:rsidR="00522A3D" w:rsidRPr="0028241D">
        <w:t xml:space="preserve"> </w:t>
      </w:r>
      <w:r>
        <w:t>Umožní jim lepší orientaci v možnostech a konkrétnější diskusi s výběrčím mýta.</w:t>
      </w:r>
    </w:p>
    <w:p w14:paraId="37928E3A" w14:textId="77777777" w:rsidR="00290146" w:rsidRPr="00A14FC0" w:rsidRDefault="00290146" w:rsidP="00A14FC0">
      <w:r w:rsidRPr="0028241D">
        <w:rPr>
          <w:b/>
        </w:rPr>
        <w:t>Pro výrobce zařízení a dodavatele telematických systémů</w:t>
      </w:r>
      <w:r w:rsidRPr="0028241D">
        <w:t xml:space="preserve"> tato norma obsahuje důležité pokyny, </w:t>
      </w:r>
      <w:r w:rsidR="00343E95">
        <w:t xml:space="preserve">co má jednotka obsahovat s ohledem na </w:t>
      </w:r>
      <w:proofErr w:type="spellStart"/>
      <w:r w:rsidR="00343E95">
        <w:t>Pre-Pay</w:t>
      </w:r>
      <w:proofErr w:type="spellEnd"/>
      <w:r w:rsidR="00343E95">
        <w:t xml:space="preserve"> model – v souvislosti s účtem v OBE či na čipové kartě. </w:t>
      </w:r>
    </w:p>
    <w:p w14:paraId="0C671AC5" w14:textId="77777777" w:rsidR="00A14FC0" w:rsidRDefault="00A14FC0">
      <w:pPr>
        <w:pStyle w:val="Textnormy"/>
        <w:rPr>
          <w:b/>
          <w:sz w:val="22"/>
          <w:szCs w:val="22"/>
        </w:rPr>
      </w:pPr>
    </w:p>
    <w:p w14:paraId="08DEEFD1" w14:textId="77777777" w:rsidR="00290146" w:rsidRPr="007D2879" w:rsidRDefault="00A14FC0" w:rsidP="00A14FC0">
      <w:pPr>
        <w:pStyle w:val="Nadpis1"/>
      </w:pPr>
      <w:r>
        <w:t xml:space="preserve">1 Předmět normy</w:t>
      </w:r>
      <w:r w:rsidRPr="00DE03BE">
        <w:t/>
      </w:r>
      <w:r w:rsidR="00290146" w:rsidRPr="007D2879">
        <w:t/>
      </w:r>
    </w:p>
    <w:p w14:paraId="6BA2DA1F" w14:textId="77777777" w:rsidR="007D2879" w:rsidRDefault="007D2879" w:rsidP="00A14FC0">
      <w:r w:rsidRPr="007D2879">
        <w:t>Ta</w:t>
      </w:r>
      <w:r>
        <w:t xml:space="preserve">to zpráva prozkoumává požadavky na všeobecně </w:t>
      </w:r>
      <w:r w:rsidR="00A14FC0">
        <w:t>použitelný</w:t>
      </w:r>
      <w:r>
        <w:t xml:space="preserve"> systém</w:t>
      </w:r>
      <w:r w:rsidR="001120CF">
        <w:t xml:space="preserve"> </w:t>
      </w:r>
      <w:proofErr w:type="spellStart"/>
      <w:r w:rsidR="001120CF">
        <w:t>Pre-Pay</w:t>
      </w:r>
      <w:proofErr w:type="spellEnd"/>
      <w:r w:rsidR="001120CF">
        <w:t>,</w:t>
      </w:r>
      <w:r>
        <w:t xml:space="preserve"> ve vztahu </w:t>
      </w:r>
      <w:r w:rsidR="00F7311D">
        <w:t xml:space="preserve">k </w:t>
      </w:r>
      <w:r>
        <w:t>existující</w:t>
      </w:r>
      <w:r w:rsidR="00F7311D">
        <w:t>m</w:t>
      </w:r>
      <w:r>
        <w:t xml:space="preserve"> norm</w:t>
      </w:r>
      <w:r w:rsidR="00F7311D">
        <w:t>ám</w:t>
      </w:r>
      <w:r>
        <w:t xml:space="preserve"> a základní</w:t>
      </w:r>
      <w:r w:rsidR="00F7311D">
        <w:t>m</w:t>
      </w:r>
      <w:r>
        <w:t xml:space="preserve"> požadavk</w:t>
      </w:r>
      <w:r w:rsidR="00F7311D">
        <w:t>ům n</w:t>
      </w:r>
      <w:r>
        <w:t>a funkcionalitu.</w:t>
      </w:r>
      <w:r w:rsidR="006D1A08">
        <w:t xml:space="preserve"> Identifikuje chybějící normy a jiné dokumenty / činnosti potřebné pro zavedení systému pro předplacené mýtné. </w:t>
      </w:r>
    </w:p>
    <w:p w14:paraId="6196D61D" w14:textId="77777777" w:rsidR="007D2879" w:rsidRDefault="007D2879" w:rsidP="00A14FC0">
      <w:r>
        <w:lastRenderedPageBreak/>
        <w:t xml:space="preserve">Na základě analýzy jsou ve zprávě jednotlivé systémy </w:t>
      </w:r>
      <w:proofErr w:type="spellStart"/>
      <w:r w:rsidR="001120CF">
        <w:t>Pre-Pay</w:t>
      </w:r>
      <w:proofErr w:type="spellEnd"/>
      <w:r w:rsidR="001120CF">
        <w:t xml:space="preserve"> </w:t>
      </w:r>
      <w:r>
        <w:t xml:space="preserve">roztříděny do kategorií podle jejich funkčních, technických a právních aspektů. Ujasňuje, jestli systém </w:t>
      </w:r>
      <w:proofErr w:type="spellStart"/>
      <w:r w:rsidR="001120CF">
        <w:t>Pre-Pay</w:t>
      </w:r>
      <w:proofErr w:type="spellEnd"/>
      <w:r>
        <w:t xml:space="preserve"> spadá do oblasti vymezené Směrnicí 2000/46/EC a jestli je organizace vydávající platební médium peněžním ústavem v</w:t>
      </w:r>
      <w:r w:rsidR="00F028CB">
        <w:t>e</w:t>
      </w:r>
      <w:r>
        <w:t xml:space="preserve"> smyslu ustanovení ve Směrnici 2007/64/EC (nemusí mít bankovní licenci).</w:t>
      </w:r>
    </w:p>
    <w:p w14:paraId="72A1044D" w14:textId="77777777" w:rsidR="006D1A08" w:rsidRDefault="006D1A08" w:rsidP="00A14FC0">
      <w:r>
        <w:t xml:space="preserve">Tato zpráva nepředjímá výběr jednoho konkrétního řešení – pouze poskytuje přehled systémů </w:t>
      </w:r>
      <w:proofErr w:type="spellStart"/>
      <w:r w:rsidR="001120CF">
        <w:t>Pre-Pay</w:t>
      </w:r>
      <w:proofErr w:type="spellEnd"/>
      <w:r>
        <w:t xml:space="preserve"> spolu s jejich charakteristikami a dává tak možnému provozovateli služby možnost se informovaně rozhodnout pro ten který systém na základě jeho osobních potřeb / preferencí.</w:t>
      </w:r>
    </w:p>
    <w:p w14:paraId="262F0226" w14:textId="77777777" w:rsidR="00C521C1" w:rsidRDefault="00C521C1" w:rsidP="00A14FC0"/>
    <w:p w14:paraId="6A7AA6EB" w14:textId="77777777" w:rsidR="00290146" w:rsidRPr="00573126" w:rsidRDefault="00290146" w:rsidP="00A14FC0">
      <w:pPr>
        <w:pStyle w:val="Nadpis1"/>
        <w:rPr>
          <w:color w:val="800000"/>
        </w:rPr>
      </w:pPr>
      <w:r w:rsidRPr="00573126">
        <w:t xml:space="preserve">2 Souvisící normy</w:t>
      </w:r>
    </w:p>
    <w:p w14:paraId="7E627DC7" w14:textId="77777777" w:rsidR="008F63B9" w:rsidRDefault="008F63B9" w:rsidP="00A14FC0">
      <w:pPr>
        <w:rPr>
          <w:lang w:eastAsia="cs-CZ"/>
        </w:rPr>
      </w:pPr>
      <w:r w:rsidRPr="00573126">
        <w:t>Tato zpráva odkazuje jak na normy elekt</w:t>
      </w:r>
      <w:r w:rsidR="00B7135A">
        <w:t>ronického mýta</w:t>
      </w:r>
      <w:r w:rsidRPr="00573126">
        <w:t xml:space="preserve"> </w:t>
      </w:r>
      <w:r w:rsidRPr="00573126">
        <w:rPr>
          <w:lang w:eastAsia="cs-CZ"/>
        </w:rPr>
        <w:t>EN 1</w:t>
      </w:r>
      <w:r w:rsidR="00B7135A">
        <w:rPr>
          <w:lang w:eastAsia="cs-CZ"/>
        </w:rPr>
        <w:t xml:space="preserve">5509, </w:t>
      </w:r>
      <w:r w:rsidRPr="00573126">
        <w:rPr>
          <w:lang w:eastAsia="cs-CZ"/>
        </w:rPr>
        <w:t xml:space="preserve">EN ISO/TS </w:t>
      </w:r>
      <w:r w:rsidR="00B7135A">
        <w:rPr>
          <w:lang w:eastAsia="cs-CZ"/>
        </w:rPr>
        <w:t>25110</w:t>
      </w:r>
      <w:r w:rsidRPr="00573126">
        <w:rPr>
          <w:lang w:eastAsia="cs-CZ"/>
        </w:rPr>
        <w:t xml:space="preserve">, </w:t>
      </w:r>
      <w:proofErr w:type="spellStart"/>
      <w:r w:rsidRPr="00573126">
        <w:rPr>
          <w:lang w:eastAsia="cs-CZ"/>
        </w:rPr>
        <w:t>prEN</w:t>
      </w:r>
      <w:proofErr w:type="spellEnd"/>
      <w:r w:rsidRPr="00573126">
        <w:rPr>
          <w:lang w:eastAsia="cs-CZ"/>
        </w:rPr>
        <w:t xml:space="preserve"> ISO </w:t>
      </w:r>
      <w:r w:rsidR="00B7135A">
        <w:rPr>
          <w:lang w:eastAsia="cs-CZ"/>
        </w:rPr>
        <w:t>12855</w:t>
      </w:r>
      <w:r w:rsidRPr="00573126">
        <w:rPr>
          <w:lang w:eastAsia="cs-CZ"/>
        </w:rPr>
        <w:t xml:space="preserve">, </w:t>
      </w:r>
      <w:r w:rsidR="00573126">
        <w:rPr>
          <w:lang w:eastAsia="cs-CZ"/>
        </w:rPr>
        <w:t xml:space="preserve">normy z oblasti platebních karet ISO/IEC </w:t>
      </w:r>
      <w:r w:rsidR="00B7135A">
        <w:rPr>
          <w:lang w:eastAsia="cs-CZ"/>
        </w:rPr>
        <w:t xml:space="preserve">7816, ISO/IEC 14443 a ISO/IEC 15693, </w:t>
      </w:r>
      <w:r w:rsidRPr="00573126">
        <w:rPr>
          <w:lang w:eastAsia="cs-CZ"/>
        </w:rPr>
        <w:t xml:space="preserve">tak i na </w:t>
      </w:r>
      <w:r w:rsidR="00573126">
        <w:rPr>
          <w:lang w:eastAsia="cs-CZ"/>
        </w:rPr>
        <w:t xml:space="preserve">evropské Směrnice a </w:t>
      </w:r>
      <w:r w:rsidRPr="00573126">
        <w:rPr>
          <w:lang w:eastAsia="cs-CZ"/>
        </w:rPr>
        <w:t xml:space="preserve">další </w:t>
      </w:r>
      <w:r w:rsidR="00B7135A">
        <w:rPr>
          <w:lang w:eastAsia="cs-CZ"/>
        </w:rPr>
        <w:t>technické zprávy</w:t>
      </w:r>
      <w:r w:rsidRPr="00573126">
        <w:rPr>
          <w:lang w:eastAsia="cs-CZ"/>
        </w:rPr>
        <w:t xml:space="preserve"> </w:t>
      </w:r>
      <w:r w:rsidR="00B7135A">
        <w:rPr>
          <w:lang w:eastAsia="cs-CZ"/>
        </w:rPr>
        <w:t>v  bibliografi</w:t>
      </w:r>
      <w:r w:rsidR="00F7311D">
        <w:rPr>
          <w:lang w:eastAsia="cs-CZ"/>
        </w:rPr>
        <w:t>i</w:t>
      </w:r>
      <w:r w:rsidR="00B7135A">
        <w:rPr>
          <w:lang w:eastAsia="cs-CZ"/>
        </w:rPr>
        <w:t>.</w:t>
      </w:r>
    </w:p>
    <w:p w14:paraId="23803787" w14:textId="77777777" w:rsidR="00A14FC0" w:rsidRPr="00573126" w:rsidRDefault="00A14FC0" w:rsidP="00A14FC0">
      <w:pPr>
        <w:rPr>
          <w:lang w:eastAsia="cs-CZ"/>
        </w:rPr>
      </w:pPr>
    </w:p>
    <w:p w14:paraId="5B884369" w14:textId="77777777" w:rsidR="00C521C1" w:rsidRPr="004D5366" w:rsidRDefault="00C521C1" w:rsidP="00C521C1">
      <w:r>
        <w:t>V této části je uvedeno 21 norem používaných / odkazovaných touto technickou zprávou.</w:t>
      </w:r>
    </w:p>
    <w:p w14:paraId="158EF561" w14:textId="77777777" w:rsidR="007D2879" w:rsidRPr="007D2879" w:rsidRDefault="007D2879" w:rsidP="00A14FC0"/>
    <w:p w14:paraId="286842BC" w14:textId="77777777" w:rsidR="00E16BF7" w:rsidRPr="00DE03BE" w:rsidRDefault="00E16BF7" w:rsidP="00E16BF7">
      <w:pPr>
        <w:pStyle w:val="Nadpis1"/>
      </w:pPr>
      <w:r w:rsidRPr="00DE03BE">
        <w:t xml:space="preserve">3 Termíny a definice</w:t>
      </w:r>
      <w:r w:rsidRPr="00DE03BE">
        <w:t/>
      </w:r>
      <w:r w:rsidRPr="00DE03BE">
        <w:t xml:space="preserve"/>
      </w:r>
      <w:r>
        <w:t/>
      </w:r>
    </w:p>
    <w:p w14:paraId="42D4FE7D" w14:textId="77777777" w:rsidR="00E16BF7" w:rsidRDefault="00E16BF7" w:rsidP="00E16BF7">
      <w:pPr>
        <w:pStyle w:val="Textnormy"/>
        <w:spacing w:before="60" w:after="60" w:line="276" w:lineRule="auto"/>
        <w:rPr>
          <w:lang/>
        </w:rPr>
      </w:pPr>
      <w:r>
        <w:rPr>
          <w:lang/>
        </w:rPr>
        <w:t>Tato norma uvádí 18 termínů, jsou zde</w:t>
      </w:r>
      <w:r w:rsidR="00290146" w:rsidRPr="00B7135A">
        <w:rPr>
          <w:lang/>
        </w:rPr>
        <w:t xml:space="preserve"> standardní termíny z oblasti EETS (evropský elektronický mýtný systém)</w:t>
      </w:r>
      <w:r w:rsidR="00F028CB">
        <w:rPr>
          <w:lang/>
        </w:rPr>
        <w:t>,</w:t>
      </w:r>
      <w:r w:rsidR="00290146" w:rsidRPr="00B7135A">
        <w:rPr>
          <w:lang/>
        </w:rPr>
        <w:t xml:space="preserve"> jako je </w:t>
      </w:r>
    </w:p>
    <w:p w14:paraId="0033D33C" w14:textId="77777777" w:rsidR="00E16BF7" w:rsidRDefault="00290146" w:rsidP="00E16BF7">
      <w:pPr>
        <w:pStyle w:val="Textnormy"/>
        <w:spacing w:before="60" w:after="60" w:line="276" w:lineRule="auto"/>
        <w:rPr>
          <w:lang/>
        </w:rPr>
      </w:pPr>
      <w:r w:rsidRPr="00E16BF7">
        <w:rPr>
          <w:b/>
          <w:lang/>
        </w:rPr>
        <w:t>poskytovatel služby</w:t>
      </w:r>
      <w:r w:rsidRPr="00B7135A">
        <w:rPr>
          <w:lang/>
        </w:rPr>
        <w:t xml:space="preserve"> </w:t>
      </w:r>
      <w:r w:rsidR="00E16BF7">
        <w:rPr>
          <w:lang/>
        </w:rPr>
        <w:t>(</w:t>
      </w:r>
      <w:proofErr w:type="spellStart"/>
      <w:r w:rsidR="00E16BF7" w:rsidRPr="00E16BF7">
        <w:rPr>
          <w:i/>
          <w:lang/>
        </w:rPr>
        <w:t>toll</w:t>
      </w:r>
      <w:proofErr w:type="spellEnd"/>
      <w:r w:rsidR="00E16BF7" w:rsidRPr="00E16BF7">
        <w:rPr>
          <w:i/>
          <w:lang/>
        </w:rPr>
        <w:t xml:space="preserve"> </w:t>
      </w:r>
      <w:proofErr w:type="spellStart"/>
      <w:r w:rsidR="00E16BF7" w:rsidRPr="00E16BF7">
        <w:rPr>
          <w:i/>
          <w:lang/>
        </w:rPr>
        <w:t>service</w:t>
      </w:r>
      <w:proofErr w:type="spellEnd"/>
      <w:r w:rsidR="00E16BF7" w:rsidRPr="00E16BF7">
        <w:rPr>
          <w:i/>
          <w:lang/>
        </w:rPr>
        <w:t xml:space="preserve"> provider</w:t>
      </w:r>
      <w:r w:rsidR="00E16BF7">
        <w:rPr>
          <w:lang/>
        </w:rPr>
        <w:t>) – právní subjekt poskytující svým zákazníkům služby spojené s mýtným v jedné či více mýtných doménách pro jedno či více tříd vozidel</w:t>
      </w:r>
    </w:p>
    <w:p w14:paraId="5F3B65C2" w14:textId="77777777" w:rsidR="00E16BF7" w:rsidRDefault="00290146" w:rsidP="00E16BF7">
      <w:pPr>
        <w:pStyle w:val="Textnormy"/>
        <w:spacing w:before="60" w:after="60" w:line="276" w:lineRule="auto"/>
        <w:rPr>
          <w:lang/>
        </w:rPr>
      </w:pPr>
      <w:r w:rsidRPr="00E16BF7">
        <w:rPr>
          <w:b/>
          <w:lang/>
        </w:rPr>
        <w:t>výběrčí mýtného</w:t>
      </w:r>
      <w:r w:rsidR="00E16BF7">
        <w:rPr>
          <w:lang/>
        </w:rPr>
        <w:t xml:space="preserve"> (</w:t>
      </w:r>
      <w:proofErr w:type="spellStart"/>
      <w:r w:rsidR="00E16BF7" w:rsidRPr="00E16BF7">
        <w:rPr>
          <w:i/>
          <w:lang/>
        </w:rPr>
        <w:t>toll</w:t>
      </w:r>
      <w:proofErr w:type="spellEnd"/>
      <w:r w:rsidR="00E16BF7" w:rsidRPr="00E16BF7">
        <w:rPr>
          <w:i/>
          <w:lang/>
        </w:rPr>
        <w:t xml:space="preserve"> </w:t>
      </w:r>
      <w:proofErr w:type="spellStart"/>
      <w:r w:rsidR="00E16BF7" w:rsidRPr="00E16BF7">
        <w:rPr>
          <w:i/>
          <w:lang/>
        </w:rPr>
        <w:t>charger</w:t>
      </w:r>
      <w:proofErr w:type="spellEnd"/>
      <w:r w:rsidR="00E16BF7">
        <w:rPr>
          <w:lang/>
        </w:rPr>
        <w:t>) – právní subjekt, který vybírá mýtné v nějaké mýtné doméně</w:t>
      </w:r>
    </w:p>
    <w:p w14:paraId="04BBAFD4" w14:textId="77777777" w:rsidR="00E16BF7" w:rsidRDefault="00E16BF7" w:rsidP="00E16BF7">
      <w:pPr>
        <w:pStyle w:val="Textnormy"/>
        <w:spacing w:before="60" w:after="60" w:line="276" w:lineRule="auto"/>
        <w:rPr>
          <w:lang/>
        </w:rPr>
      </w:pPr>
      <w:r w:rsidRPr="00EF767C">
        <w:rPr>
          <w:b/>
          <w:lang/>
        </w:rPr>
        <w:t>uživatel služby</w:t>
      </w:r>
      <w:r>
        <w:rPr>
          <w:lang/>
        </w:rPr>
        <w:t xml:space="preserve"> (</w:t>
      </w:r>
      <w:proofErr w:type="spellStart"/>
      <w:r>
        <w:rPr>
          <w:lang/>
        </w:rPr>
        <w:t>service</w:t>
      </w:r>
      <w:proofErr w:type="spellEnd"/>
      <w:r>
        <w:rPr>
          <w:lang/>
        </w:rPr>
        <w:t xml:space="preserve"> user) – obecný termín pro </w:t>
      </w:r>
      <w:r w:rsidR="00EF767C">
        <w:rPr>
          <w:lang/>
        </w:rPr>
        <w:t xml:space="preserve">zákazníka poskytovatele služby, který je povinen platit mýtné buď vlastník vozidla, provozovatel vozového parku, řidič atp. v závislosti na kontextu </w:t>
      </w:r>
    </w:p>
    <w:p w14:paraId="2F550C8B" w14:textId="77777777" w:rsidR="00997A20" w:rsidRDefault="00997A20" w:rsidP="00E16BF7">
      <w:pPr>
        <w:pStyle w:val="Textnormy"/>
        <w:spacing w:before="60" w:after="60" w:line="276" w:lineRule="auto"/>
        <w:rPr>
          <w:lang/>
        </w:rPr>
      </w:pPr>
      <w:r w:rsidRPr="00997A20">
        <w:rPr>
          <w:b/>
          <w:lang/>
        </w:rPr>
        <w:t>smlouva</w:t>
      </w:r>
      <w:r>
        <w:rPr>
          <w:lang/>
        </w:rPr>
        <w:t xml:space="preserve"> (</w:t>
      </w:r>
      <w:r w:rsidRPr="00997A20">
        <w:rPr>
          <w:i/>
          <w:lang/>
        </w:rPr>
        <w:t xml:space="preserve">EFC </w:t>
      </w:r>
      <w:proofErr w:type="spellStart"/>
      <w:r w:rsidRPr="00997A20">
        <w:rPr>
          <w:i/>
          <w:lang/>
        </w:rPr>
        <w:t>contract</w:t>
      </w:r>
      <w:proofErr w:type="spellEnd"/>
      <w:r>
        <w:rPr>
          <w:lang/>
        </w:rPr>
        <w:t xml:space="preserve">) - </w:t>
      </w:r>
      <w:r>
        <w:rPr>
          <w:rStyle w:val="def"/>
        </w:rPr>
        <w:t>vyjádření dohody mezi dvěma nebo více stranami ohledně využívání silniční infrastruktury</w:t>
      </w:r>
    </w:p>
    <w:p w14:paraId="6CCEF0A2" w14:textId="77777777" w:rsidR="00E16BF7" w:rsidRDefault="00E16BF7" w:rsidP="00E16BF7">
      <w:pPr>
        <w:pStyle w:val="Textnormy"/>
        <w:spacing w:before="60" w:after="60" w:line="276" w:lineRule="auto"/>
        <w:rPr>
          <w:lang/>
        </w:rPr>
      </w:pPr>
      <w:r>
        <w:rPr>
          <w:lang/>
        </w:rPr>
        <w:t>Ale také nově zavedený termín:</w:t>
      </w:r>
    </w:p>
    <w:p w14:paraId="59F26346" w14:textId="77777777" w:rsidR="00F028CB" w:rsidRDefault="00B7135A" w:rsidP="00E16BF7">
      <w:pPr>
        <w:pStyle w:val="Textnormy"/>
        <w:spacing w:before="60" w:after="60" w:line="276" w:lineRule="auto"/>
      </w:pPr>
      <w:r w:rsidRPr="00E16BF7">
        <w:rPr>
          <w:b/>
          <w:lang/>
        </w:rPr>
        <w:t>zařízení pro peněžní prostředky</w:t>
      </w:r>
      <w:r>
        <w:rPr>
          <w:lang/>
        </w:rPr>
        <w:t xml:space="preserve"> </w:t>
      </w:r>
      <w:r w:rsidRPr="00E16BF7">
        <w:rPr>
          <w:i/>
          <w:lang/>
        </w:rPr>
        <w:t>(</w:t>
      </w:r>
      <w:proofErr w:type="spellStart"/>
      <w:r w:rsidRPr="00E16BF7">
        <w:rPr>
          <w:i/>
          <w:lang/>
        </w:rPr>
        <w:t>Value</w:t>
      </w:r>
      <w:proofErr w:type="spellEnd"/>
      <w:r w:rsidRPr="00E16BF7">
        <w:rPr>
          <w:i/>
          <w:lang/>
        </w:rPr>
        <w:t xml:space="preserve"> </w:t>
      </w:r>
      <w:proofErr w:type="spellStart"/>
      <w:r w:rsidRPr="00E16BF7">
        <w:rPr>
          <w:i/>
          <w:lang/>
        </w:rPr>
        <w:t>units</w:t>
      </w:r>
      <w:proofErr w:type="spellEnd"/>
      <w:r w:rsidRPr="00E16BF7">
        <w:rPr>
          <w:i/>
          <w:lang/>
        </w:rPr>
        <w:t xml:space="preserve"> </w:t>
      </w:r>
      <w:proofErr w:type="spellStart"/>
      <w:r w:rsidRPr="00E16BF7">
        <w:rPr>
          <w:i/>
          <w:lang/>
        </w:rPr>
        <w:t>Bearing</w:t>
      </w:r>
      <w:proofErr w:type="spellEnd"/>
      <w:r w:rsidRPr="00E16BF7">
        <w:rPr>
          <w:i/>
          <w:lang/>
        </w:rPr>
        <w:t xml:space="preserve"> </w:t>
      </w:r>
      <w:proofErr w:type="spellStart"/>
      <w:r w:rsidRPr="00E16BF7">
        <w:rPr>
          <w:i/>
          <w:lang/>
        </w:rPr>
        <w:t>Device</w:t>
      </w:r>
      <w:proofErr w:type="spellEnd"/>
      <w:r w:rsidRPr="00E16BF7">
        <w:rPr>
          <w:i/>
          <w:lang/>
        </w:rPr>
        <w:t>, VBD)</w:t>
      </w:r>
      <w:r w:rsidR="00290146" w:rsidRPr="00B7135A">
        <w:rPr>
          <w:lang/>
        </w:rPr>
        <w:t xml:space="preserve"> </w:t>
      </w:r>
      <w:r w:rsidR="00E16BF7">
        <w:rPr>
          <w:lang/>
        </w:rPr>
        <w:t>zařízení,</w:t>
      </w:r>
      <w:r w:rsidR="00E16BF7" w:rsidRPr="00E16BF7">
        <w:rPr>
          <w:lang/>
        </w:rPr>
        <w:t xml:space="preserve"> </w:t>
      </w:r>
      <w:r w:rsidR="00E16BF7">
        <w:rPr>
          <w:lang/>
        </w:rPr>
        <w:t>v držení uživatele služby, které obsahuje peněžní prostředky, někdy také nazývané elektronická peněženka.</w:t>
      </w:r>
    </w:p>
    <w:p w14:paraId="42C15DEA" w14:textId="77777777" w:rsidR="00A14FC0" w:rsidRPr="00A14FC0" w:rsidRDefault="00290146" w:rsidP="00A14FC0">
      <w:r>
        <w:t xml:space="preserve">Další termíny a zkratky z oboru ITS jsou obsaženy ve slovníku ITS terminology.</w:t>
      </w:r>
    </w:p>
    <w:p w14:paraId="42D747FA" w14:textId="77777777" w:rsidR="00290146" w:rsidRDefault="00290146" w:rsidP="00A14FC0">
      <w:pPr>
        <w:rPr>
          <w:b/>
          <w:sz w:val="22"/>
          <w:szCs w:val="22"/>
        </w:rPr>
      </w:pPr>
    </w:p>
    <w:p w14:paraId="57F1099A" w14:textId="77777777" w:rsidR="00E16BF7" w:rsidRDefault="00E16BF7" w:rsidP="00E16BF7">
      <w:pPr>
        <w:pStyle w:val="Nadpis1"/>
      </w:pPr>
      <w:r>
        <w:t xml:space="preserve">4 Symboly a zkratky</w:t>
      </w:r>
      <w:r w:rsidRPr="00DE03BE">
        <w:t/>
      </w:r>
      <w:r>
        <w:t/>
      </w:r>
    </w:p>
    <w:p w14:paraId="550A333C" w14:textId="77777777" w:rsidR="00E16BF7" w:rsidRDefault="00E16BF7" w:rsidP="00E16BF7">
      <w:pPr>
        <w:pStyle w:val="Textnormy"/>
        <w:spacing w:before="60" w:after="60" w:line="276" w:lineRule="auto"/>
        <w:rPr>
          <w:lang/>
        </w:rPr>
      </w:pPr>
      <w:r>
        <w:rPr>
          <w:lang/>
        </w:rPr>
        <w:t xml:space="preserve">Tato norma uvádí 27 </w:t>
      </w:r>
      <w:r w:rsidR="00EF767C">
        <w:rPr>
          <w:lang/>
        </w:rPr>
        <w:t>zkratek. Mezi jinými například:</w:t>
      </w:r>
    </w:p>
    <w:p w14:paraId="035C59EB" w14:textId="77777777" w:rsidR="00EF767C" w:rsidRDefault="00EF767C" w:rsidP="00E16BF7">
      <w:pPr>
        <w:pStyle w:val="Textnormy"/>
        <w:spacing w:before="60" w:after="60" w:line="276" w:lineRule="auto"/>
        <w:rPr>
          <w:lang/>
        </w:rPr>
      </w:pPr>
      <w:r w:rsidRPr="00EF767C">
        <w:rPr>
          <w:b/>
          <w:lang/>
        </w:rPr>
        <w:t>SAM</w:t>
      </w:r>
      <w:r>
        <w:rPr>
          <w:lang/>
        </w:rPr>
        <w:t xml:space="preserve"> – modul se zabezpečeným přístupem</w:t>
      </w:r>
    </w:p>
    <w:p w14:paraId="08F24D0A" w14:textId="77777777" w:rsidR="00EF767C" w:rsidRDefault="00EF767C" w:rsidP="00E16BF7">
      <w:pPr>
        <w:pStyle w:val="Textnormy"/>
        <w:spacing w:before="60" w:after="60" w:line="276" w:lineRule="auto"/>
        <w:rPr>
          <w:lang/>
        </w:rPr>
      </w:pPr>
      <w:r w:rsidRPr="00EF767C">
        <w:rPr>
          <w:b/>
          <w:lang/>
        </w:rPr>
        <w:t>PSP</w:t>
      </w:r>
      <w:r>
        <w:rPr>
          <w:lang/>
        </w:rPr>
        <w:t xml:space="preserve"> – poskytovatel platební služby</w:t>
      </w:r>
    </w:p>
    <w:p w14:paraId="528222BE" w14:textId="77777777" w:rsidR="00EF767C" w:rsidRDefault="00EF767C" w:rsidP="00E16BF7">
      <w:pPr>
        <w:pStyle w:val="Textnormy"/>
        <w:spacing w:before="60" w:after="60" w:line="276" w:lineRule="auto"/>
        <w:rPr>
          <w:lang/>
        </w:rPr>
      </w:pPr>
      <w:r w:rsidRPr="00EF767C">
        <w:rPr>
          <w:b/>
          <w:lang/>
        </w:rPr>
        <w:t>VAT</w:t>
      </w:r>
      <w:r>
        <w:rPr>
          <w:lang/>
        </w:rPr>
        <w:t xml:space="preserve"> – daň z </w:t>
      </w:r>
      <w:proofErr w:type="spellStart"/>
      <w:r>
        <w:rPr>
          <w:lang/>
        </w:rPr>
        <w:t>přdané</w:t>
      </w:r>
      <w:proofErr w:type="spellEnd"/>
      <w:r>
        <w:rPr>
          <w:lang/>
        </w:rPr>
        <w:t xml:space="preserve"> hodnoty</w:t>
      </w:r>
    </w:p>
    <w:p w14:paraId="657BB002" w14:textId="77777777" w:rsidR="00997A20" w:rsidRDefault="00997A20" w:rsidP="00E16BF7">
      <w:pPr>
        <w:pStyle w:val="Textnormy"/>
        <w:spacing w:before="60" w:after="60" w:line="276" w:lineRule="auto"/>
        <w:rPr>
          <w:lang/>
        </w:rPr>
      </w:pPr>
      <w:r w:rsidRPr="00997A20">
        <w:rPr>
          <w:b/>
          <w:lang/>
        </w:rPr>
        <w:t>POS</w:t>
      </w:r>
      <w:r>
        <w:rPr>
          <w:lang/>
        </w:rPr>
        <w:t xml:space="preserve"> – místo prodeje</w:t>
      </w:r>
    </w:p>
    <w:p w14:paraId="551C2686" w14:textId="77777777" w:rsidR="00EF767C" w:rsidRDefault="00EF767C" w:rsidP="00E16BF7">
      <w:pPr>
        <w:pStyle w:val="Textnormy"/>
        <w:spacing w:before="60" w:after="60" w:line="276" w:lineRule="auto"/>
        <w:rPr>
          <w:lang/>
        </w:rPr>
      </w:pPr>
      <w:r>
        <w:rPr>
          <w:lang/>
        </w:rPr>
        <w:t>A další.</w:t>
      </w:r>
    </w:p>
    <w:p w14:paraId="42C15DEA" w14:textId="77777777" w:rsidR="00A14FC0" w:rsidRPr="00A14FC0" w:rsidRDefault="00290146" w:rsidP="00A14FC0">
      <w:r>
        <w:t xml:space="preserve">Další termíny a zkratky z oboru ITS jsou obsaženy ve slovníku ITS terminology (www.ITSterminology.org).</w:t>
      </w:r>
    </w:p>
    <w:p w14:paraId="33FECECD" w14:textId="77777777" w:rsidR="00E16BF7" w:rsidRPr="00B7135A" w:rsidRDefault="00E16BF7" w:rsidP="00A14FC0">
      <w:pPr>
        <w:rPr>
          <w:b/>
          <w:sz w:val="22"/>
          <w:szCs w:val="22"/>
        </w:rPr>
      </w:pPr>
    </w:p>
    <w:p w14:paraId="51506C6F" w14:textId="77777777" w:rsidR="00290146" w:rsidRDefault="00290146" w:rsidP="00A14FC0">
      <w:pPr>
        <w:pStyle w:val="Nadpis1"/>
      </w:pPr>
      <w:r w:rsidRPr="00B7135A">
        <w:t>5</w:t>
      </w:r>
      <w:r w:rsidR="00A14FC0" w:rsidRPr="00DE03BE">
        <w:t> </w:t>
      </w:r>
      <w:r w:rsidR="00B7135A">
        <w:t>Problematika interoperability</w:t>
      </w:r>
    </w:p>
    <w:p w14:paraId="155CAFA0" w14:textId="77777777" w:rsidR="00B7135A" w:rsidRDefault="000E558E" w:rsidP="00A14FC0">
      <w:pPr>
        <w:rPr>
          <w:lang/>
        </w:rPr>
      </w:pPr>
      <w:r>
        <w:rPr>
          <w:lang/>
        </w:rPr>
        <w:t xml:space="preserve">Tato kapitola se odvolává na model rolí EFC z normy </w:t>
      </w:r>
      <w:proofErr w:type="spellStart"/>
      <w:r>
        <w:rPr>
          <w:lang/>
        </w:rPr>
        <w:t>prEN</w:t>
      </w:r>
      <w:proofErr w:type="spellEnd"/>
      <w:r>
        <w:rPr>
          <w:lang/>
        </w:rPr>
        <w:t xml:space="preserve"> ISO 17573. Tento model se skládá ze 4 provázaných rolí funkce EETS</w:t>
      </w:r>
      <w:r w:rsidR="005D3DDD">
        <w:rPr>
          <w:lang/>
        </w:rPr>
        <w:t xml:space="preserve"> viz </w:t>
      </w:r>
      <w:r w:rsidR="005D3DDD">
        <w:rPr>
          <w:lang/>
        </w:rPr>
        <w:fldChar w:fldCharType="begin"/>
      </w:r>
      <w:r w:rsidR="005D3DDD">
        <w:rPr>
          <w:lang/>
        </w:rPr>
        <w:instrText xml:space="preserve"> REF _Ref340435276 \h </w:instrText>
      </w:r>
      <w:r w:rsidR="005D3DDD">
        <w:rPr>
          <w:lang/>
        </w:rPr>
      </w:r>
      <w:r w:rsidR="005D3DDD">
        <w:rPr>
          <w:lang/>
        </w:rPr>
        <w:fldChar w:fldCharType="separate"/>
      </w:r>
      <w:r w:rsidR="001120CF" w:rsidRPr="000E558E">
        <w:rPr>
          <w:lang/>
        </w:rPr>
        <w:t xml:space="preserve">Obrázek </w:t>
      </w:r>
      <w:r w:rsidR="001120CF">
        <w:rPr>
          <w:noProof/>
          <w:lang/>
        </w:rPr>
        <w:t>1</w:t>
      </w:r>
      <w:r w:rsidR="005D3DDD">
        <w:rPr>
          <w:lang/>
        </w:rPr>
        <w:fldChar w:fldCharType="end"/>
      </w:r>
      <w:r>
        <w:rPr>
          <w:lang/>
        </w:rPr>
        <w:t>.</w:t>
      </w:r>
      <w:r w:rsidR="005D3DDD">
        <w:rPr>
          <w:lang/>
        </w:rPr>
        <w:t xml:space="preserve"> </w:t>
      </w:r>
      <w:r w:rsidR="00211BFC">
        <w:rPr>
          <w:lang/>
        </w:rPr>
        <w:t xml:space="preserve">V další </w:t>
      </w:r>
      <w:r w:rsidR="001120CF">
        <w:rPr>
          <w:lang/>
        </w:rPr>
        <w:t>části této kapitoly jsou</w:t>
      </w:r>
      <w:r w:rsidR="00211BFC">
        <w:rPr>
          <w:lang/>
        </w:rPr>
        <w:t xml:space="preserve"> </w:t>
      </w:r>
      <w:r w:rsidR="001120CF">
        <w:rPr>
          <w:lang/>
        </w:rPr>
        <w:t xml:space="preserve">vyjmenovány 3 </w:t>
      </w:r>
      <w:r w:rsidR="00211BFC">
        <w:rPr>
          <w:lang/>
        </w:rPr>
        <w:t>model</w:t>
      </w:r>
      <w:r w:rsidR="001120CF">
        <w:rPr>
          <w:lang/>
        </w:rPr>
        <w:t>y</w:t>
      </w:r>
      <w:r w:rsidR="00211BFC">
        <w:rPr>
          <w:lang/>
        </w:rPr>
        <w:t xml:space="preserve"> plateb uživatele služby poskytovateli služby</w:t>
      </w:r>
      <w:r w:rsidR="001120CF">
        <w:rPr>
          <w:lang/>
        </w:rPr>
        <w:t>, kterým se dále norma věnuje. Je to Post-</w:t>
      </w:r>
      <w:proofErr w:type="spellStart"/>
      <w:r w:rsidR="001120CF">
        <w:rPr>
          <w:lang/>
        </w:rPr>
        <w:t>Pay</w:t>
      </w:r>
      <w:proofErr w:type="spellEnd"/>
      <w:r w:rsidR="001120CF">
        <w:rPr>
          <w:lang/>
        </w:rPr>
        <w:t xml:space="preserve"> a </w:t>
      </w:r>
      <w:proofErr w:type="spellStart"/>
      <w:r w:rsidR="001120CF">
        <w:rPr>
          <w:lang/>
        </w:rPr>
        <w:t>Pre-Pay</w:t>
      </w:r>
      <w:proofErr w:type="spellEnd"/>
      <w:r w:rsidR="001120CF">
        <w:rPr>
          <w:lang/>
        </w:rPr>
        <w:t xml:space="preserve"> systém s centrálním účtem a </w:t>
      </w:r>
      <w:proofErr w:type="spellStart"/>
      <w:r w:rsidR="001120CF">
        <w:rPr>
          <w:lang/>
        </w:rPr>
        <w:t>Pre-Pay</w:t>
      </w:r>
      <w:proofErr w:type="spellEnd"/>
      <w:r w:rsidR="001120CF">
        <w:rPr>
          <w:lang/>
        </w:rPr>
        <w:t xml:space="preserve"> systém s účtem v OBE.</w:t>
      </w:r>
    </w:p>
    <w:p w14:paraId="1FCA43AD" w14:textId="77777777" w:rsidR="00211BFC" w:rsidRDefault="00211BFC" w:rsidP="00A14FC0">
      <w:pPr>
        <w:rPr>
          <w:lang/>
        </w:rPr>
      </w:pPr>
    </w:p>
    <w:p w14:paraId="2D930051" w14:textId="77777777" w:rsidR="000E558E" w:rsidRDefault="00EF767C" w:rsidP="000E558E">
      <w:pPr>
        <w:pStyle w:val="Textnormy"/>
        <w:keepNext/>
        <w:jc w:val="center"/>
      </w:pPr>
      <w:r>
        <w:rPr>
          <w:noProof/>
        </w:rPr>
        <w:lastRenderedPageBreak/>
        <w:pict w14:anchorId="6B54AD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kt 1" o:spid="_x0000_i1025" type="#_x0000_t75" style="width:337.05pt;height:175.65pt;visibility:visible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">
            <v:imagedata r:id="rId8" o:title="" cropbottom="-210f" cropright="-42f"/>
            <o:lock v:ext="edit" aspectratio="f"/>
          </v:shape>
        </w:pict>
      </w:r>
    </w:p>
    <w:p w14:paraId="7B7FED4D" w14:textId="77777777" w:rsidR="000E558E" w:rsidRPr="000E558E" w:rsidRDefault="000E558E" w:rsidP="00B34137">
      <w:pPr>
        <w:jc w:val="center"/>
        <w:rPr>
          <w:lang/>
        </w:rPr>
      </w:pPr>
      <w:bookmarkStart w:id="1" w:name="_Ref340435276"/>
      <w:r w:rsidRPr="000E558E">
        <w:rPr>
          <w:lang/>
        </w:rPr>
        <w:t xml:space="preserve">Obrázek </w:t>
      </w:r>
      <w:r w:rsidRPr="000E558E">
        <w:rPr>
          <w:lang/>
        </w:rPr>
        <w:fldChar w:fldCharType="begin"/>
      </w:r>
      <w:r w:rsidRPr="000E558E">
        <w:rPr>
          <w:lang/>
        </w:rPr>
        <w:instrText xml:space="preserve"> SEQ Obrázek \* ARABIC </w:instrText>
      </w:r>
      <w:r w:rsidRPr="000E558E">
        <w:rPr>
          <w:lang/>
        </w:rPr>
        <w:fldChar w:fldCharType="separate"/>
      </w:r>
      <w:r w:rsidR="00F8028D">
        <w:rPr>
          <w:lang/>
        </w:rPr>
        <w:t>1</w:t>
      </w:r>
      <w:r w:rsidRPr="000E558E">
        <w:rPr>
          <w:lang/>
        </w:rPr>
        <w:fldChar w:fldCharType="end"/>
      </w:r>
      <w:bookmarkEnd w:id="1"/>
      <w:r>
        <w:rPr>
          <w:lang/>
        </w:rPr>
        <w:t xml:space="preserve"> </w:t>
      </w:r>
      <w:r w:rsidRPr="000E558E">
        <w:rPr>
          <w:lang/>
        </w:rPr>
        <w:t>Role v prostředí výběru mýtného</w:t>
      </w:r>
      <w:r w:rsidR="00B34137">
        <w:rPr>
          <w:lang/>
        </w:rPr>
        <w:t xml:space="preserve"> (zdroj: CEN TR 16092, Obrázek 1)</w:t>
      </w:r>
    </w:p>
    <w:p w14:paraId="75BFA6EB" w14:textId="77777777" w:rsidR="000E558E" w:rsidRPr="001120CF" w:rsidRDefault="000E558E">
      <w:pPr>
        <w:pStyle w:val="Textnormy"/>
        <w:rPr>
          <w:lang/>
        </w:rPr>
      </w:pPr>
    </w:p>
    <w:p w14:paraId="547380A1" w14:textId="77777777" w:rsidR="001D1328" w:rsidRPr="001120CF" w:rsidRDefault="001D1328" w:rsidP="00A14FC0">
      <w:pPr>
        <w:pStyle w:val="Nadpis1"/>
      </w:pPr>
      <w:r w:rsidRPr="001120CF">
        <w:t>6</w:t>
      </w:r>
      <w:r w:rsidR="00A14FC0" w:rsidRPr="00DE03BE">
        <w:t> </w:t>
      </w:r>
      <w:r w:rsidRPr="001120CF">
        <w:t xml:space="preserve">Klasifikace </w:t>
      </w:r>
      <w:proofErr w:type="spellStart"/>
      <w:r w:rsidR="001120CF">
        <w:t>Pre-Pay</w:t>
      </w:r>
      <w:proofErr w:type="spellEnd"/>
      <w:r w:rsidR="001120CF">
        <w:t xml:space="preserve"> řešení</w:t>
      </w:r>
      <w:r w:rsidRPr="001120CF">
        <w:t xml:space="preserve"> </w:t>
      </w:r>
    </w:p>
    <w:p w14:paraId="6E1A72AF" w14:textId="77777777" w:rsidR="00C03B9B" w:rsidRDefault="00691665" w:rsidP="00A14FC0">
      <w:pPr>
        <w:rPr>
          <w:lang/>
        </w:rPr>
      </w:pPr>
      <w:r>
        <w:rPr>
          <w:lang/>
        </w:rPr>
        <w:t xml:space="preserve">Tato kapitola vyjmenovává v odrážkách výhody a nevýhody centrálního a lokálního (OBE) 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řešení. Centrální řešení používá OBE, které obsahuje referenci</w:t>
      </w:r>
      <w:r w:rsidR="00C03B9B">
        <w:rPr>
          <w:lang/>
        </w:rPr>
        <w:t>/odkaz</w:t>
      </w:r>
      <w:r>
        <w:rPr>
          <w:lang/>
        </w:rPr>
        <w:t xml:space="preserve"> na centrální (anonymní) účet, ze kterého je strháváno mýtné, dobíjení kredit</w:t>
      </w:r>
      <w:r w:rsidR="00C03B9B">
        <w:rPr>
          <w:lang/>
        </w:rPr>
        <w:t>u může probíhat různými formami:</w:t>
      </w:r>
    </w:p>
    <w:p w14:paraId="07AE8762" w14:textId="77777777" w:rsidR="00C03B9B" w:rsidRDefault="00691665" w:rsidP="00C03B9B">
      <w:pPr>
        <w:numPr>
          <w:ilvl w:val="0"/>
          <w:numId w:val="11"/>
        </w:numPr>
        <w:rPr>
          <w:lang/>
        </w:rPr>
      </w:pPr>
      <w:r>
        <w:rPr>
          <w:lang/>
        </w:rPr>
        <w:t>anonymní platba v</w:t>
      </w:r>
      <w:r w:rsidR="00997A20">
        <w:rPr>
          <w:lang/>
        </w:rPr>
        <w:t> </w:t>
      </w:r>
      <w:r>
        <w:rPr>
          <w:lang/>
        </w:rPr>
        <w:t>hotovosti</w:t>
      </w:r>
      <w:r w:rsidR="00997A20">
        <w:rPr>
          <w:lang/>
        </w:rPr>
        <w:t xml:space="preserve"> na POS,</w:t>
      </w:r>
    </w:p>
    <w:p w14:paraId="4D8C6BFB" w14:textId="77777777" w:rsidR="00997A20" w:rsidRDefault="00997A20" w:rsidP="00C03B9B">
      <w:pPr>
        <w:numPr>
          <w:ilvl w:val="0"/>
          <w:numId w:val="11"/>
        </w:numPr>
        <w:rPr>
          <w:lang/>
        </w:rPr>
      </w:pPr>
      <w:r>
        <w:rPr>
          <w:lang/>
        </w:rPr>
        <w:t>kvazi-anonymní platba vkladem v bance v hotovosti na účet,</w:t>
      </w:r>
    </w:p>
    <w:p w14:paraId="1F174A90" w14:textId="77777777" w:rsidR="001D1328" w:rsidRDefault="00691665" w:rsidP="00C03B9B">
      <w:pPr>
        <w:numPr>
          <w:ilvl w:val="0"/>
          <w:numId w:val="11"/>
        </w:numPr>
        <w:rPr>
          <w:lang/>
        </w:rPr>
      </w:pPr>
      <w:r>
        <w:rPr>
          <w:lang/>
        </w:rPr>
        <w:t>neanonymní platba převodem</w:t>
      </w:r>
      <w:r w:rsidR="00997A20">
        <w:rPr>
          <w:lang/>
        </w:rPr>
        <w:t xml:space="preserve"> z účtu na účet</w:t>
      </w:r>
      <w:r>
        <w:rPr>
          <w:lang/>
        </w:rPr>
        <w:t>.</w:t>
      </w:r>
    </w:p>
    <w:p w14:paraId="5B9429A3" w14:textId="77777777" w:rsidR="00691665" w:rsidRDefault="00691665" w:rsidP="00A14FC0">
      <w:pPr>
        <w:rPr>
          <w:lang/>
        </w:rPr>
      </w:pPr>
      <w:r>
        <w:rPr>
          <w:lang/>
        </w:rPr>
        <w:t>Centrální řešení umožňuje více jednotek asociovat s jedním účtem, snižuje celkově komplexitu řešení</w:t>
      </w:r>
      <w:r w:rsidR="001C56AD">
        <w:rPr>
          <w:lang/>
        </w:rPr>
        <w:t>,</w:t>
      </w:r>
      <w:r>
        <w:rPr>
          <w:lang/>
        </w:rPr>
        <w:t xml:space="preserve"> také riziko krádeže OBE. Zároveň ale neumožňuje strhávání plateb v reálném čase a může tak dojít k překročení limitu čerpání.</w:t>
      </w:r>
    </w:p>
    <w:p w14:paraId="5E0E3C50" w14:textId="77777777" w:rsidR="00691665" w:rsidRDefault="00691665" w:rsidP="00A14FC0">
      <w:pPr>
        <w:rPr>
          <w:lang/>
        </w:rPr>
      </w:pPr>
      <w:r>
        <w:rPr>
          <w:lang/>
        </w:rPr>
        <w:t xml:space="preserve">U řešení 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s OBE je účet a tedy i kredit (peněžní jednotky) přítomen na OBE. K zaúčtování dochází okamžitě v jednotce. To jak „dobít“ do jednotky dostatečný kredit řeší norma CEN ISO/TS 25110, na kterou tato zpráva odkazuje. Výhodou tohoto systému je přenositelnost a flexibilita, nevýhodou pak přítomnost kreditu v zařízení, které může být odcizeno, </w:t>
      </w:r>
      <w:r w:rsidR="001C56AD">
        <w:rPr>
          <w:lang/>
        </w:rPr>
        <w:t xml:space="preserve">dále, </w:t>
      </w:r>
      <w:r>
        <w:rPr>
          <w:lang/>
        </w:rPr>
        <w:t xml:space="preserve">že je možné dobíjet kredit pouze v jedné </w:t>
      </w:r>
      <w:r w:rsidR="00647C4A">
        <w:rPr>
          <w:lang/>
        </w:rPr>
        <w:t>měně a vysoké nároky na testy shody</w:t>
      </w:r>
      <w:r>
        <w:rPr>
          <w:lang/>
        </w:rPr>
        <w:t>.</w:t>
      </w:r>
    </w:p>
    <w:p w14:paraId="632CAAB1" w14:textId="77777777" w:rsidR="001120CF" w:rsidRDefault="00691665" w:rsidP="00A14FC0">
      <w:pPr>
        <w:rPr>
          <w:lang/>
        </w:rPr>
      </w:pPr>
      <w:r>
        <w:rPr>
          <w:lang/>
        </w:rPr>
        <w:t xml:space="preserve"> </w:t>
      </w:r>
    </w:p>
    <w:p w14:paraId="439D3C24" w14:textId="77777777" w:rsidR="001D1328" w:rsidRPr="00647C4A" w:rsidRDefault="001D1328" w:rsidP="00A14FC0">
      <w:pPr>
        <w:pStyle w:val="Nadpis1"/>
      </w:pPr>
      <w:r w:rsidRPr="00647C4A">
        <w:t>7</w:t>
      </w:r>
      <w:r w:rsidR="00A14FC0" w:rsidRPr="00DE03BE">
        <w:t> </w:t>
      </w:r>
      <w:r w:rsidRPr="00647C4A">
        <w:t>Požadavky na předplacený účet v centrálním systému</w:t>
      </w:r>
    </w:p>
    <w:p w14:paraId="021903E1" w14:textId="77777777" w:rsidR="00F2506E" w:rsidRDefault="001D3E50" w:rsidP="00A14FC0">
      <w:pPr>
        <w:rPr>
          <w:lang/>
        </w:rPr>
      </w:pPr>
      <w:r>
        <w:rPr>
          <w:lang/>
        </w:rPr>
        <w:t xml:space="preserve">Článek 7.2 </w:t>
      </w:r>
      <w:r w:rsidR="00F2506E">
        <w:rPr>
          <w:lang/>
        </w:rPr>
        <w:t xml:space="preserve">uvádí </w:t>
      </w:r>
      <w:r w:rsidR="00360857">
        <w:rPr>
          <w:lang/>
        </w:rPr>
        <w:t>P</w:t>
      </w:r>
      <w:r w:rsidR="00F2506E" w:rsidRPr="00225FF1">
        <w:rPr>
          <w:lang/>
        </w:rPr>
        <w:t>ožadavky obchodních procesů</w:t>
      </w:r>
      <w:r w:rsidR="00F2506E">
        <w:rPr>
          <w:lang/>
        </w:rPr>
        <w:t xml:space="preserve"> z pohledu uživatele služby (nevýhody z pohledu uživatele, jako například automatické blokování všech OBU asociovaných s vyčerpaným účtem atp.).  Z pohledu distribučních kanálů pro vydání</w:t>
      </w:r>
      <w:r w:rsidR="00997A20">
        <w:rPr>
          <w:lang/>
        </w:rPr>
        <w:t xml:space="preserve"> Smlouvy</w:t>
      </w:r>
      <w:r w:rsidR="00F2506E">
        <w:rPr>
          <w:lang/>
        </w:rPr>
        <w:t xml:space="preserve"> </w:t>
      </w:r>
      <w:r w:rsidR="00997A20">
        <w:rPr>
          <w:lang/>
        </w:rPr>
        <w:t xml:space="preserve">mezi uživatelem služby a poskytovatelem služby </w:t>
      </w:r>
      <w:r w:rsidR="00F2506E">
        <w:rPr>
          <w:lang/>
        </w:rPr>
        <w:t xml:space="preserve">(internet, kancelář, </w:t>
      </w:r>
      <w:r w:rsidR="00997A20">
        <w:rPr>
          <w:lang/>
        </w:rPr>
        <w:t xml:space="preserve">zprostředkovatel </w:t>
      </w:r>
      <w:r w:rsidR="00F2506E">
        <w:rPr>
          <w:lang/>
        </w:rPr>
        <w:t xml:space="preserve">atp.), z pohledu požadavků ve smlouvě (typ účtu, typ platby, minimální zůstatek atp.). </w:t>
      </w:r>
    </w:p>
    <w:p w14:paraId="14B67734" w14:textId="77777777" w:rsidR="001D3E50" w:rsidRDefault="00F2506E" w:rsidP="00A14FC0">
      <w:pPr>
        <w:rPr>
          <w:lang/>
        </w:rPr>
      </w:pPr>
      <w:r>
        <w:rPr>
          <w:lang/>
        </w:rPr>
        <w:t>Dále je v kapitole rozveden způsob dobíjení kreditu, kde p</w:t>
      </w:r>
      <w:r>
        <w:rPr>
          <w:rStyle w:val="hps"/>
        </w:rPr>
        <w:t>o</w:t>
      </w:r>
      <w:r>
        <w:t xml:space="preserve"> </w:t>
      </w:r>
      <w:r>
        <w:rPr>
          <w:rStyle w:val="hps"/>
        </w:rPr>
        <w:t>počátečním</w:t>
      </w:r>
      <w:r>
        <w:t xml:space="preserve"> </w:t>
      </w:r>
      <w:r w:rsidR="001D3E50">
        <w:t>nahrání kreditu na centrální účet se musí proces dobíjení do jisté míry automatizovat.</w:t>
      </w:r>
      <w:r>
        <w:t xml:space="preserve"> </w:t>
      </w:r>
      <w:r>
        <w:rPr>
          <w:rStyle w:val="hps"/>
        </w:rPr>
        <w:t>Existuje několik možných</w:t>
      </w:r>
      <w:r>
        <w:t xml:space="preserve"> </w:t>
      </w:r>
      <w:r>
        <w:rPr>
          <w:rStyle w:val="hps"/>
        </w:rPr>
        <w:t>řešení</w:t>
      </w:r>
      <w:r>
        <w:t xml:space="preserve"> </w:t>
      </w:r>
      <w:r w:rsidR="001D3E50">
        <w:t>dobití kreditu, tyto možnosti jsou v kapitole zevrubně popsány</w:t>
      </w:r>
      <w:r w:rsidR="001C56AD">
        <w:t>.</w:t>
      </w:r>
      <w:r w:rsidR="001D3E50">
        <w:t xml:space="preserve"> </w:t>
      </w:r>
      <w:r w:rsidR="001C56AD">
        <w:t>J</w:t>
      </w:r>
      <w:r w:rsidR="001D3E50">
        <w:t>edná se o platbu v hotovosti, hotovostní vklad na účet</w:t>
      </w:r>
      <w:r w:rsidR="001D3E50">
        <w:rPr>
          <w:lang/>
        </w:rPr>
        <w:t>, převod na účet či automatické inkaso vůči účtu uživatele. Obchodní procesy dále zahrnují způsob výběru mýtného, způsob fakturace, způsob refundace zůstatku na centrálním účtu, clearing mezi výběrčím mýtného a poskytovatelem služby, způsob vyřizování stížností a bezpečnostní otázky.</w:t>
      </w:r>
    </w:p>
    <w:p w14:paraId="3707BCAB" w14:textId="77777777" w:rsidR="005D7E11" w:rsidRDefault="001D3E50" w:rsidP="00A14FC0">
      <w:pPr>
        <w:rPr>
          <w:lang/>
        </w:rPr>
      </w:pPr>
      <w:r>
        <w:rPr>
          <w:lang/>
        </w:rPr>
        <w:t>Článek 7.3 uvádí technické požadavky na OBE, (centrální systém neklade žádné doplňkové požadavky na OBE)</w:t>
      </w:r>
      <w:r w:rsidR="000204A4">
        <w:rPr>
          <w:lang/>
        </w:rPr>
        <w:t>, požadavky na místo prodeje (POS)</w:t>
      </w:r>
      <w:r w:rsidR="005D7E11">
        <w:rPr>
          <w:lang/>
        </w:rPr>
        <w:t xml:space="preserve"> s ohledem na personalizaci OBE. Článek 7.4 právní a funkční otázky odkazuje na Směrnice EU, které je nutno vzít v potaz, jedná se o:</w:t>
      </w:r>
    </w:p>
    <w:p w14:paraId="3EDDAE22" w14:textId="77777777" w:rsidR="001D1328" w:rsidRDefault="005D7E11" w:rsidP="00A14FC0">
      <w:pPr>
        <w:numPr>
          <w:ilvl w:val="0"/>
          <w:numId w:val="10"/>
        </w:numPr>
        <w:rPr>
          <w:lang/>
        </w:rPr>
      </w:pPr>
      <w:r>
        <w:rPr>
          <w:lang/>
        </w:rPr>
        <w:lastRenderedPageBreak/>
        <w:t xml:space="preserve">Směrnice 2000/46/EC o elektronických platebních prostředcích, </w:t>
      </w:r>
    </w:p>
    <w:p w14:paraId="596E292A" w14:textId="77777777" w:rsidR="005D7E11" w:rsidRDefault="005D7E11" w:rsidP="00A14FC0">
      <w:pPr>
        <w:numPr>
          <w:ilvl w:val="0"/>
          <w:numId w:val="10"/>
        </w:numPr>
        <w:rPr>
          <w:lang/>
        </w:rPr>
      </w:pPr>
      <w:r>
        <w:rPr>
          <w:lang/>
        </w:rPr>
        <w:t>Směrnice 2007/64/EC o platebních službách,</w:t>
      </w:r>
    </w:p>
    <w:p w14:paraId="722E0FCA" w14:textId="77777777" w:rsidR="005D7E11" w:rsidRDefault="005D7E11" w:rsidP="00A14FC0">
      <w:pPr>
        <w:numPr>
          <w:ilvl w:val="0"/>
          <w:numId w:val="10"/>
        </w:numPr>
        <w:rPr>
          <w:lang/>
        </w:rPr>
      </w:pPr>
      <w:r>
        <w:rPr>
          <w:lang/>
        </w:rPr>
        <w:t>Směrnice 2005/60/EC o praní peněz a</w:t>
      </w:r>
    </w:p>
    <w:p w14:paraId="6C20A8EC" w14:textId="77777777" w:rsidR="005D7E11" w:rsidRDefault="005D7E11" w:rsidP="00A14FC0">
      <w:pPr>
        <w:numPr>
          <w:ilvl w:val="0"/>
          <w:numId w:val="10"/>
        </w:numPr>
        <w:rPr>
          <w:lang/>
        </w:rPr>
      </w:pPr>
      <w:r>
        <w:rPr>
          <w:lang/>
        </w:rPr>
        <w:t>Směrnice 2005/60/EC o ochraně údajů.</w:t>
      </w:r>
    </w:p>
    <w:p w14:paraId="3BFD5F58" w14:textId="77777777" w:rsidR="005D7E11" w:rsidRDefault="005D7E11" w:rsidP="00A14FC0">
      <w:pPr>
        <w:rPr>
          <w:lang/>
        </w:rPr>
      </w:pPr>
      <w:r>
        <w:rPr>
          <w:lang/>
        </w:rPr>
        <w:t xml:space="preserve">Z funkčního pohledu se v tomto článku řeší konverze různých měn v centrálním systému podle potřeb poskytovatele služby. </w:t>
      </w:r>
    </w:p>
    <w:p w14:paraId="023F8552" w14:textId="77777777" w:rsidR="00A14FC0" w:rsidRDefault="00A14FC0" w:rsidP="00A14FC0">
      <w:pPr>
        <w:rPr>
          <w:lang/>
        </w:rPr>
      </w:pPr>
    </w:p>
    <w:p w14:paraId="59EA3FCD" w14:textId="77777777" w:rsidR="001D1328" w:rsidRPr="005D7E11" w:rsidRDefault="001D1328" w:rsidP="00A14FC0">
      <w:pPr>
        <w:pStyle w:val="Nadpis1"/>
      </w:pPr>
      <w:r w:rsidRPr="005D7E11">
        <w:t>8</w:t>
      </w:r>
      <w:r w:rsidR="00A14FC0" w:rsidRPr="00DE03BE">
        <w:t> </w:t>
      </w:r>
      <w:r w:rsidRPr="005D7E11">
        <w:t>Požadavky na předplacený účet na OBE</w:t>
      </w:r>
    </w:p>
    <w:p w14:paraId="0A9E9157" w14:textId="77777777" w:rsidR="001D1328" w:rsidRDefault="005D7E11" w:rsidP="00A14FC0">
      <w:pPr>
        <w:rPr>
          <w:lang/>
        </w:rPr>
      </w:pPr>
      <w:r>
        <w:rPr>
          <w:lang/>
        </w:rPr>
        <w:t xml:space="preserve">Tato kapitola uvádí požadavky na 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účet na OBE, kde místo peněz na centrálním účtu musí být OBE schopné </w:t>
      </w:r>
      <w:r w:rsidR="007C2A3F">
        <w:rPr>
          <w:lang/>
        </w:rPr>
        <w:t>ukládat peníze (kredit) lokálně. Kredit může být uložen buď na nějakém platebním médiu (VBD) či v zabezpečeném aplikačním modulu SAM přímo v OBE.</w:t>
      </w:r>
    </w:p>
    <w:p w14:paraId="003A7660" w14:textId="77777777" w:rsidR="005D7E11" w:rsidRDefault="007C2A3F" w:rsidP="00A14FC0">
      <w:pPr>
        <w:rPr>
          <w:lang/>
        </w:rPr>
      </w:pPr>
      <w:r>
        <w:rPr>
          <w:lang/>
        </w:rPr>
        <w:t>Dále je tato kapitola rozčleněna dle stejné logiky jako kapitola o centrálních účtech. Obsahuje tedy články požadavky obchodních procesů, technické požadavky a právní a funkční otázky. Náplň těchto článků se ale liší.</w:t>
      </w:r>
    </w:p>
    <w:p w14:paraId="5DDBE417" w14:textId="77777777" w:rsidR="007C2A3F" w:rsidRDefault="007C2A3F" w:rsidP="00A14FC0">
      <w:pPr>
        <w:rPr>
          <w:lang/>
        </w:rPr>
      </w:pPr>
      <w:r>
        <w:rPr>
          <w:lang/>
        </w:rPr>
        <w:t xml:space="preserve">Článek 8.2 </w:t>
      </w:r>
      <w:r w:rsidR="001C56AD">
        <w:rPr>
          <w:lang/>
        </w:rPr>
        <w:t>P</w:t>
      </w:r>
      <w:r>
        <w:rPr>
          <w:lang/>
        </w:rPr>
        <w:t>ožadavky obchodních procesů se věnuje vydávání OBE v 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módu, personalizaci OBE, kdy absolutní anonymita není zřejmě možná, protože výběrčí mýtného může ve své doméně vyžadovat přítomnost registračního čísla a národnosti při personalizaci OBE.</w:t>
      </w:r>
    </w:p>
    <w:p w14:paraId="57CA2E6E" w14:textId="77777777" w:rsidR="007C2A3F" w:rsidRDefault="007C2A3F" w:rsidP="00A14FC0">
      <w:pPr>
        <w:rPr>
          <w:lang/>
        </w:rPr>
      </w:pPr>
      <w:r>
        <w:rPr>
          <w:lang/>
        </w:rPr>
        <w:t>V tomto článku se také podrobněji řeší výše zmíněné způsoby dobíjení kreditu do OBE</w:t>
      </w:r>
      <w:r w:rsidR="00E96D00">
        <w:rPr>
          <w:lang/>
        </w:rPr>
        <w:t>. Kredit se přenese z VBD do SAM v OBE automaticky při podkročení hodnoty minimálního zůstatku, či může poskytovatel nabídnout přenos kreditu do OBE na jednom z jeho míst prodeje POS.</w:t>
      </w:r>
    </w:p>
    <w:p w14:paraId="026425A8" w14:textId="77777777" w:rsidR="007C2A3F" w:rsidRDefault="00E96D00" w:rsidP="00A14FC0">
      <w:pPr>
        <w:rPr>
          <w:lang/>
        </w:rPr>
      </w:pPr>
      <w:r>
        <w:rPr>
          <w:lang/>
        </w:rPr>
        <w:t xml:space="preserve">Na rozdíl od centrálního účtu je lokální 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účet složitější v nárocích na výběr mýtného, kde musí být dodržena celá řada pravidel, jak přistupovat ke kreditu uloženému na VBD či OBE při vstupu či výstupu z mýtné domény, jak řešit clearing mezi OBE a výběrčím mýtného v případě kreditu na VBD či OBE atp. </w:t>
      </w:r>
      <w:r w:rsidR="00DA7C85">
        <w:rPr>
          <w:lang/>
        </w:rPr>
        <w:t>Obchodní procesy dále zahrnují způsob fakturace, způsob refundace zůstatku na účtu, důkaz o provedení transakce, způsob vyřizování stížností a bezpečnostní otázky.</w:t>
      </w:r>
    </w:p>
    <w:p w14:paraId="57053C87" w14:textId="77777777" w:rsidR="00DA7C85" w:rsidRDefault="00DA7C85" w:rsidP="00A14FC0">
      <w:pPr>
        <w:rPr>
          <w:lang/>
        </w:rPr>
      </w:pPr>
      <w:r>
        <w:rPr>
          <w:lang/>
        </w:rPr>
        <w:t>Článek 8.3 uvádí technické požadavky na OBE kromě těch, které jsou shod</w:t>
      </w:r>
      <w:r w:rsidR="001C56AD">
        <w:rPr>
          <w:lang/>
        </w:rPr>
        <w:t>ě</w:t>
      </w:r>
      <w:r>
        <w:rPr>
          <w:lang/>
        </w:rPr>
        <w:t xml:space="preserve"> v případě centrálního systému je zde řada nových požadavků jako například požadavky na VBD (kontaktní/bezkontaktní, elektromagnetická a formátová kompatibilita atp.) U OBE je řešena přítomnost zařízení pro čtení VBD, vše s odkazy na relevantní normy. Článek 8.4 </w:t>
      </w:r>
      <w:r w:rsidR="00360857">
        <w:rPr>
          <w:lang/>
        </w:rPr>
        <w:t>P</w:t>
      </w:r>
      <w:r>
        <w:rPr>
          <w:lang/>
        </w:rPr>
        <w:t xml:space="preserve">rávní a funkční otázky je shodný až na drobnosti s článkem 7.4 </w:t>
      </w:r>
    </w:p>
    <w:p w14:paraId="7EEFDE1C" w14:textId="77777777" w:rsidR="00A14FC0" w:rsidRDefault="00A14FC0" w:rsidP="00A14FC0">
      <w:pPr>
        <w:rPr>
          <w:lang/>
        </w:rPr>
      </w:pPr>
    </w:p>
    <w:p w14:paraId="5328CB90" w14:textId="77777777" w:rsidR="001D1328" w:rsidRPr="00DA7C85" w:rsidRDefault="001D1328" w:rsidP="00A14FC0">
      <w:pPr>
        <w:pStyle w:val="Nadpis1"/>
      </w:pPr>
      <w:r w:rsidRPr="00DA7C85">
        <w:t>9</w:t>
      </w:r>
      <w:r w:rsidR="00A14FC0" w:rsidRPr="00DE03BE">
        <w:t> </w:t>
      </w:r>
      <w:r w:rsidRPr="00DA7C85">
        <w:t>Fakturace uživateli služby</w:t>
      </w:r>
    </w:p>
    <w:p w14:paraId="5F1622A9" w14:textId="77777777" w:rsidR="001D1328" w:rsidRDefault="00B07733" w:rsidP="00A14FC0">
      <w:pPr>
        <w:rPr>
          <w:lang/>
        </w:rPr>
      </w:pPr>
      <w:r>
        <w:rPr>
          <w:lang/>
        </w:rPr>
        <w:t>Poskytovatel služby má právní nárok na fakturování jakékoli služby poskytnuté uživateli</w:t>
      </w:r>
      <w:r w:rsidR="00F8028D">
        <w:rPr>
          <w:lang/>
        </w:rPr>
        <w:t>,</w:t>
      </w:r>
      <w:r>
        <w:rPr>
          <w:lang/>
        </w:rPr>
        <w:t xml:space="preserve"> typ faktury pak závisí na </w:t>
      </w:r>
      <w:r w:rsidR="00F8028D">
        <w:rPr>
          <w:lang/>
        </w:rPr>
        <w:t xml:space="preserve">způsobu účtování DPH. Kapitola se v článku 9.2 věnuje otázkám spojeným s DPH, kde z pohledu DPH může být na mýto nahlíženo jako na </w:t>
      </w:r>
      <w:r w:rsidR="00F8028D" w:rsidRPr="00225FF1">
        <w:rPr>
          <w:lang/>
        </w:rPr>
        <w:t>daň, platební povinnost</w:t>
      </w:r>
      <w:r w:rsidRPr="00225FF1">
        <w:rPr>
          <w:lang/>
        </w:rPr>
        <w:t xml:space="preserve"> </w:t>
      </w:r>
      <w:r w:rsidR="00F8028D" w:rsidRPr="00225FF1">
        <w:rPr>
          <w:lang/>
        </w:rPr>
        <w:t>nebo jako na poplatek</w:t>
      </w:r>
      <w:r w:rsidR="00F8028D" w:rsidRPr="00360857">
        <w:rPr>
          <w:lang/>
        </w:rPr>
        <w:t>.</w:t>
      </w:r>
      <w:r w:rsidR="00F8028D">
        <w:rPr>
          <w:lang/>
        </w:rPr>
        <w:t xml:space="preserve"> Mýtné bývá většinou uváděno jako poplatek a poté spadá pod povinnost odvádět z něj DPH (první 2 případy nezakládají povinnost odvádět DPH).   </w:t>
      </w:r>
    </w:p>
    <w:p w14:paraId="6F3C94F1" w14:textId="77777777" w:rsidR="00DA7C85" w:rsidRDefault="00F8028D" w:rsidP="00A14FC0">
      <w:pPr>
        <w:rPr>
          <w:lang/>
        </w:rPr>
      </w:pPr>
      <w:r>
        <w:rPr>
          <w:lang/>
        </w:rPr>
        <w:t xml:space="preserve">Článek 9.3 </w:t>
      </w:r>
      <w:r w:rsidR="00360857">
        <w:rPr>
          <w:u w:val="single"/>
          <w:lang/>
        </w:rPr>
        <w:t>Ú</w:t>
      </w:r>
      <w:r>
        <w:rPr>
          <w:lang/>
        </w:rPr>
        <w:t xml:space="preserve">vahy spojené s obchodním modelem uvádí různé způsoby platby DPH při dvou různých obchodních modelech (model obchodního řetězce - </w:t>
      </w:r>
      <w:r w:rsidR="00997A20">
        <w:rPr>
          <w:lang/>
        </w:rPr>
        <w:t>zprostředkování</w:t>
      </w:r>
      <w:r>
        <w:rPr>
          <w:lang/>
        </w:rPr>
        <w:t xml:space="preserve">, agenturní model – fakturace jménem výběrčího). Poslední článek 9.4 této kapitoly uvádí názorně na obrázku </w:t>
      </w:r>
      <w:r w:rsidR="00100FFE">
        <w:rPr>
          <w:lang/>
        </w:rPr>
        <w:t>(</w:t>
      </w:r>
      <w:r w:rsidR="00100FFE">
        <w:rPr>
          <w:lang/>
        </w:rPr>
        <w:fldChar w:fldCharType="begin"/>
      </w:r>
      <w:r w:rsidR="00100FFE">
        <w:rPr>
          <w:lang/>
        </w:rPr>
        <w:instrText xml:space="preserve"> REF _Ref340443705 \h </w:instrText>
      </w:r>
      <w:r w:rsidR="00100FFE">
        <w:rPr>
          <w:lang/>
        </w:rPr>
      </w:r>
      <w:r w:rsidR="00100FFE">
        <w:rPr>
          <w:lang/>
        </w:rPr>
        <w:fldChar w:fldCharType="separate"/>
      </w:r>
      <w:r w:rsidR="00100FFE">
        <w:rPr>
          <w:lang/>
        </w:rPr>
        <w:t>Obrázek 2</w:t>
      </w:r>
      <w:r w:rsidR="00100FFE">
        <w:rPr>
          <w:lang/>
        </w:rPr>
        <w:fldChar w:fldCharType="end"/>
      </w:r>
      <w:r w:rsidR="00100FFE">
        <w:rPr>
          <w:lang/>
        </w:rPr>
        <w:t xml:space="preserve">) </w:t>
      </w:r>
      <w:r>
        <w:rPr>
          <w:lang/>
        </w:rPr>
        <w:t xml:space="preserve">vypořádání DPH mezi uživatelem, poskytovatelem a výběrčím mýtného. </w:t>
      </w:r>
    </w:p>
    <w:p w14:paraId="022AE2CE" w14:textId="77777777" w:rsidR="00F8028D" w:rsidRDefault="00343E95" w:rsidP="00100FFE">
      <w:pPr>
        <w:pStyle w:val="Textnormy"/>
        <w:keepNext/>
        <w:jc w:val="center"/>
      </w:pPr>
      <w:r w:rsidRPr="00061B61">
        <w:rPr>
          <w:noProof/>
          <w:lang w:eastAsia="cs-CZ"/>
        </w:rPr>
        <w:pict>
          <v:shape id="Obrázek 1" o:spid="_x0000_i1026" type="#_x0000_t75" style="width:470pt;height:151.9pt;visibility:visible">
            <v:imagedata r:id="rId9" o:title="" cropbottom="6929f"/>
          </v:shape>
        </w:pict>
      </w:r>
    </w:p>
    <w:p w14:paraId="424BB90D" w14:textId="77777777" w:rsidR="00F8028D" w:rsidRDefault="00F8028D" w:rsidP="00A14FC0">
      <w:pPr>
        <w:rPr>
          <w:lang/>
        </w:rPr>
      </w:pPr>
      <w:bookmarkStart w:id="2" w:name="_Ref340443705"/>
      <w:r>
        <w:rPr>
          <w:lang/>
        </w:rPr>
        <w:t xml:space="preserve">Obrázek </w:t>
      </w:r>
      <w:r>
        <w:rPr>
          <w:lang/>
        </w:rPr>
        <w:fldChar w:fldCharType="begin"/>
      </w:r>
      <w:r>
        <w:rPr>
          <w:lang/>
        </w:rPr>
        <w:instrText xml:space="preserve"> SEQ Obrázek \* ARABIC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bookmarkEnd w:id="2"/>
      <w:r>
        <w:rPr>
          <w:lang/>
        </w:rPr>
        <w:t xml:space="preserve"> </w:t>
      </w:r>
      <w:r w:rsidR="00100FFE">
        <w:rPr>
          <w:lang/>
        </w:rPr>
        <w:t>Č</w:t>
      </w:r>
      <w:r>
        <w:rPr>
          <w:lang/>
        </w:rPr>
        <w:t xml:space="preserve">ást obrázku </w:t>
      </w:r>
      <w:r w:rsidR="00100FFE">
        <w:rPr>
          <w:lang/>
        </w:rPr>
        <w:t>řešícího tok plateb DPH mezi uživatelem, poskytovatelem a výběrčím</w:t>
      </w:r>
      <w:r w:rsidR="00B34137">
        <w:rPr>
          <w:lang/>
        </w:rPr>
        <w:t xml:space="preserve"> (zdroj: CEN TR 16092, Obrázek 6)</w:t>
      </w:r>
    </w:p>
    <w:p w14:paraId="6E06F4C0" w14:textId="77777777" w:rsidR="00F8028D" w:rsidRDefault="00F8028D" w:rsidP="00100FFE">
      <w:pPr>
        <w:pStyle w:val="Textnormy"/>
        <w:rPr>
          <w:lang/>
        </w:rPr>
      </w:pPr>
    </w:p>
    <w:p w14:paraId="1BE8501B" w14:textId="77777777" w:rsidR="00A372A1" w:rsidRPr="001D1328" w:rsidRDefault="001D1328" w:rsidP="00A14FC0">
      <w:pPr>
        <w:pStyle w:val="Nadpis1"/>
      </w:pPr>
      <w:r w:rsidRPr="001D1328">
        <w:t>10</w:t>
      </w:r>
      <w:r w:rsidR="00A14FC0" w:rsidRPr="00DE03BE">
        <w:t> </w:t>
      </w:r>
      <w:r w:rsidRPr="001D1328">
        <w:t>Chybějící normy a doporučení</w:t>
      </w:r>
    </w:p>
    <w:p w14:paraId="3A55D415" w14:textId="77777777" w:rsidR="00A372A1" w:rsidRDefault="00731139" w:rsidP="00A14FC0">
      <w:pPr>
        <w:rPr>
          <w:lang/>
        </w:rPr>
      </w:pPr>
      <w:r>
        <w:rPr>
          <w:lang/>
        </w:rPr>
        <w:t xml:space="preserve">Podle této zprávy v oblasti systému 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s centrálním účtem není potřeba dodatečné standardizace. Na rozdíl od toho u 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systému s lokálním účtem na OBE je řada nedořešených problémů, například:</w:t>
      </w:r>
    </w:p>
    <w:p w14:paraId="09B5ECEB" w14:textId="77777777" w:rsidR="00731139" w:rsidRDefault="00731139" w:rsidP="00A14FC0">
      <w:pPr>
        <w:numPr>
          <w:ilvl w:val="0"/>
          <w:numId w:val="8"/>
        </w:numPr>
        <w:rPr>
          <w:lang/>
        </w:rPr>
      </w:pPr>
      <w:r>
        <w:rPr>
          <w:lang/>
        </w:rPr>
        <w:t xml:space="preserve">standardizace </w:t>
      </w:r>
      <w:r w:rsidR="00997A20">
        <w:rPr>
          <w:lang/>
        </w:rPr>
        <w:t>elektronické</w:t>
      </w:r>
      <w:r>
        <w:rPr>
          <w:lang/>
        </w:rPr>
        <w:t xml:space="preserve"> peněženky na čipové kartě,</w:t>
      </w:r>
    </w:p>
    <w:p w14:paraId="234EAB32" w14:textId="77777777" w:rsidR="00731139" w:rsidRDefault="00731139" w:rsidP="00A14FC0">
      <w:pPr>
        <w:numPr>
          <w:ilvl w:val="0"/>
          <w:numId w:val="8"/>
        </w:numPr>
        <w:rPr>
          <w:lang/>
        </w:rPr>
      </w:pPr>
      <w:r>
        <w:rPr>
          <w:lang/>
        </w:rPr>
        <w:t>nedostatečná bezpečnostní architektura,</w:t>
      </w:r>
    </w:p>
    <w:p w14:paraId="1C0A5D01" w14:textId="77777777" w:rsidR="00731139" w:rsidRDefault="00997A20" w:rsidP="00A14FC0">
      <w:pPr>
        <w:numPr>
          <w:ilvl w:val="0"/>
          <w:numId w:val="8"/>
        </w:numPr>
        <w:rPr>
          <w:lang/>
        </w:rPr>
      </w:pPr>
      <w:r>
        <w:rPr>
          <w:lang/>
        </w:rPr>
        <w:t xml:space="preserve">datové elementy relevantní pro 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systém nejsou ještě zavedeny v </w:t>
      </w:r>
      <w:r w:rsidR="00731139">
        <w:rPr>
          <w:lang/>
        </w:rPr>
        <w:t>EN 1545,</w:t>
      </w:r>
    </w:p>
    <w:p w14:paraId="549EBFE9" w14:textId="77777777" w:rsidR="00D16AAA" w:rsidRDefault="00D16AAA" w:rsidP="00A14FC0">
      <w:pPr>
        <w:numPr>
          <w:ilvl w:val="0"/>
          <w:numId w:val="8"/>
        </w:numPr>
        <w:rPr>
          <w:lang/>
        </w:rPr>
      </w:pPr>
      <w:r>
        <w:rPr>
          <w:lang/>
        </w:rPr>
        <w:t xml:space="preserve">v </w:t>
      </w:r>
      <w:proofErr w:type="spellStart"/>
      <w:r>
        <w:rPr>
          <w:lang/>
        </w:rPr>
        <w:t>prEN</w:t>
      </w:r>
      <w:proofErr w:type="spellEnd"/>
      <w:r>
        <w:rPr>
          <w:lang/>
        </w:rPr>
        <w:t xml:space="preserve"> ISO 12855 není </w:t>
      </w:r>
      <w:r w:rsidR="00731139">
        <w:rPr>
          <w:lang/>
        </w:rPr>
        <w:t>zaveden</w:t>
      </w:r>
      <w:r>
        <w:rPr>
          <w:lang/>
        </w:rPr>
        <w:t>a</w:t>
      </w:r>
      <w:r w:rsidR="00731139">
        <w:rPr>
          <w:lang/>
        </w:rPr>
        <w:t xml:space="preserve"> </w:t>
      </w:r>
      <w:r>
        <w:rPr>
          <w:lang/>
        </w:rPr>
        <w:t xml:space="preserve">transakce pro </w:t>
      </w:r>
      <w:r w:rsidR="00731139">
        <w:rPr>
          <w:lang/>
        </w:rPr>
        <w:t xml:space="preserve">nahrávání kreditu do OBE z VBD </w:t>
      </w:r>
    </w:p>
    <w:p w14:paraId="69353199" w14:textId="77777777" w:rsidR="00731139" w:rsidRDefault="00731139" w:rsidP="00A14FC0">
      <w:pPr>
        <w:numPr>
          <w:ilvl w:val="0"/>
          <w:numId w:val="8"/>
        </w:numPr>
        <w:rPr>
          <w:lang/>
        </w:rPr>
      </w:pPr>
      <w:r>
        <w:rPr>
          <w:lang/>
        </w:rPr>
        <w:t>atp.</w:t>
      </w:r>
    </w:p>
    <w:p w14:paraId="38BCA043" w14:textId="77777777" w:rsidR="00731139" w:rsidRDefault="00731139" w:rsidP="00A14FC0">
      <w:pPr>
        <w:rPr>
          <w:lang/>
        </w:rPr>
      </w:pPr>
      <w:r>
        <w:rPr>
          <w:lang/>
        </w:rPr>
        <w:t>Jako doporučení tato technická zpráva uvádí potřebu vypracovat technickou studii</w:t>
      </w:r>
      <w:r w:rsidR="00360857">
        <w:rPr>
          <w:lang/>
        </w:rPr>
        <w:t>,</w:t>
      </w:r>
      <w:r>
        <w:rPr>
          <w:lang/>
        </w:rPr>
        <w:t xml:space="preserve"> která detailně vyhodnotí všechny aspekty </w:t>
      </w:r>
      <w:proofErr w:type="spellStart"/>
      <w:r>
        <w:rPr>
          <w:lang/>
        </w:rPr>
        <w:t>Pre-Pay</w:t>
      </w:r>
      <w:proofErr w:type="spellEnd"/>
      <w:r>
        <w:rPr>
          <w:lang/>
        </w:rPr>
        <w:t xml:space="preserve"> modelu a stanoví veškeré technické a procedurální souvislosti a restrikce.  </w:t>
      </w:r>
    </w:p>
    <w:p w14:paraId="375CF079" w14:textId="77777777" w:rsidR="00731139" w:rsidRDefault="00731139" w:rsidP="00A14FC0">
      <w:pPr>
        <w:rPr>
          <w:lang/>
        </w:rPr>
      </w:pPr>
    </w:p>
    <w:p w14:paraId="03822C66" w14:textId="77777777" w:rsidR="00A372A1" w:rsidRDefault="00A372A1" w:rsidP="00A14FC0">
      <w:pPr>
        <w:pStyle w:val="Nadpis1"/>
      </w:pPr>
      <w:r w:rsidRPr="007D0CF4">
        <w:t>Příloha</w:t>
      </w:r>
      <w:r w:rsidR="00A14FC0" w:rsidRPr="00DE03BE">
        <w:t> </w:t>
      </w:r>
      <w:r w:rsidRPr="007D0CF4">
        <w:t>A</w:t>
      </w:r>
      <w:r w:rsidR="00A14FC0">
        <w:t xml:space="preserve"> </w:t>
      </w:r>
      <w:r w:rsidR="007D0CF4" w:rsidRPr="007D0CF4">
        <w:t xml:space="preserve">(Informativní) Příklady implementace </w:t>
      </w:r>
    </w:p>
    <w:p w14:paraId="33EE01BF" w14:textId="77777777" w:rsidR="007D0CF4" w:rsidRDefault="007D0CF4" w:rsidP="00A14FC0">
      <w:pPr>
        <w:rPr>
          <w:lang/>
        </w:rPr>
      </w:pPr>
      <w:r>
        <w:rPr>
          <w:lang/>
        </w:rPr>
        <w:t xml:space="preserve">Tato příloha uvádí tabulkovou formou mýtné systémy, které používají předplacený  účet na OBE (systém </w:t>
      </w:r>
      <w:proofErr w:type="spellStart"/>
      <w:r w:rsidR="00D16AAA">
        <w:rPr>
          <w:lang/>
        </w:rPr>
        <w:t>Pre-Pay</w:t>
      </w:r>
      <w:proofErr w:type="spellEnd"/>
      <w:r>
        <w:rPr>
          <w:lang/>
        </w:rPr>
        <w:t>/kreditu). Jedná se o Asijské státy</w:t>
      </w:r>
      <w:r w:rsidR="009500E8">
        <w:rPr>
          <w:lang/>
        </w:rPr>
        <w:t>/města: Japonsko, Singapur, Peking, Šanghaj, Jižní Korea a Malajsie. Tabulka uvádí:</w:t>
      </w:r>
    </w:p>
    <w:p w14:paraId="4CC5DB2C" w14:textId="77777777" w:rsidR="009500E8" w:rsidRDefault="009500E8" w:rsidP="00A14FC0">
      <w:pPr>
        <w:numPr>
          <w:ilvl w:val="0"/>
          <w:numId w:val="9"/>
        </w:numPr>
        <w:rPr>
          <w:lang/>
        </w:rPr>
      </w:pPr>
      <w:r>
        <w:rPr>
          <w:lang/>
        </w:rPr>
        <w:t>použití (pouze pro EFC či obecné),</w:t>
      </w:r>
    </w:p>
    <w:p w14:paraId="5D75F835" w14:textId="77777777" w:rsidR="009500E8" w:rsidRDefault="009500E8" w:rsidP="00A14FC0">
      <w:pPr>
        <w:numPr>
          <w:ilvl w:val="0"/>
          <w:numId w:val="9"/>
        </w:numPr>
        <w:rPr>
          <w:lang/>
        </w:rPr>
      </w:pPr>
      <w:r>
        <w:rPr>
          <w:lang/>
        </w:rPr>
        <w:t>vydavatele karty,</w:t>
      </w:r>
    </w:p>
    <w:p w14:paraId="11BFDF33" w14:textId="77777777" w:rsidR="009500E8" w:rsidRDefault="009500E8" w:rsidP="00A14FC0">
      <w:pPr>
        <w:numPr>
          <w:ilvl w:val="0"/>
          <w:numId w:val="9"/>
        </w:numPr>
        <w:rPr>
          <w:lang/>
        </w:rPr>
      </w:pPr>
      <w:r>
        <w:rPr>
          <w:lang/>
        </w:rPr>
        <w:t>jak systém funguje,</w:t>
      </w:r>
    </w:p>
    <w:p w14:paraId="08E2681F" w14:textId="77777777" w:rsidR="009500E8" w:rsidRDefault="009500E8" w:rsidP="00A14FC0">
      <w:pPr>
        <w:numPr>
          <w:ilvl w:val="0"/>
          <w:numId w:val="9"/>
        </w:numPr>
        <w:rPr>
          <w:lang/>
        </w:rPr>
      </w:pPr>
      <w:r>
        <w:rPr>
          <w:lang/>
        </w:rPr>
        <w:t>jaký typ karty byl použit a</w:t>
      </w:r>
    </w:p>
    <w:p w14:paraId="70C11067" w14:textId="77777777" w:rsidR="009500E8" w:rsidRDefault="009500E8" w:rsidP="00A14FC0">
      <w:pPr>
        <w:numPr>
          <w:ilvl w:val="0"/>
          <w:numId w:val="9"/>
        </w:numPr>
        <w:rPr>
          <w:lang/>
        </w:rPr>
      </w:pPr>
      <w:r>
        <w:rPr>
          <w:lang/>
        </w:rPr>
        <w:t>bezpečnostní architekturu řešení.</w:t>
      </w:r>
    </w:p>
    <w:p w14:paraId="399F2087" w14:textId="77777777" w:rsidR="001D1328" w:rsidRDefault="001D1328" w:rsidP="00A14FC0">
      <w:pPr>
        <w:rPr>
          <w:lang/>
        </w:rPr>
      </w:pPr>
    </w:p>
    <w:p w14:paraId="28AF9E1B" w14:textId="77777777" w:rsidR="009500E8" w:rsidRPr="001D1328" w:rsidRDefault="001D1328" w:rsidP="00A14FC0">
      <w:pPr>
        <w:pStyle w:val="Nadpis1"/>
      </w:pPr>
      <w:r w:rsidRPr="001D1328">
        <w:t>Literatura</w:t>
      </w:r>
    </w:p>
    <w:p w14:paraId="74513B16" w14:textId="77777777" w:rsidR="001D1328" w:rsidRPr="007D0CF4" w:rsidRDefault="001D1328" w:rsidP="00A14FC0">
      <w:pPr>
        <w:rPr>
          <w:lang/>
        </w:rPr>
      </w:pPr>
      <w:r>
        <w:rPr>
          <w:lang/>
        </w:rPr>
        <w:t>Tato příloha uvádí odkazy na evropské Směrnice a zpráv</w:t>
      </w:r>
      <w:r w:rsidR="0028241D">
        <w:rPr>
          <w:lang/>
        </w:rPr>
        <w:t>u týkající se požadavků na městské mýto založené na DSRC.</w:t>
      </w:r>
      <w:r>
        <w:rPr>
          <w:lang/>
        </w:rPr>
        <w:t xml:space="preserve"> </w:t>
      </w:r>
    </w:p>
    <w:sectPr w:rsidR="001D1328" w:rsidRPr="007D0CF4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FA5A" w14:textId="77777777" w:rsidR="00B15C60" w:rsidRDefault="00B15C60" w:rsidP="00A14FC0">
      <w:r>
        <w:separator/>
      </w:r>
    </w:p>
  </w:endnote>
  <w:endnote w:type="continuationSeparator" w:id="0">
    <w:p w14:paraId="7BD87AE6" w14:textId="77777777" w:rsidR="00B15C60" w:rsidRDefault="00B15C60" w:rsidP="00A14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Times New Roman"/>
    <w:charset w:val="EE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843B5" w14:textId="77777777" w:rsidR="00290146" w:rsidRDefault="00290146" w:rsidP="00A14FC0">
    <w:pPr>
      <w:pStyle w:val="Zpat"/>
    </w:pPr>
    <w:r>
      <w:pict w14:anchorId="4268A4B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0;margin-top:.05pt;width:5.55pt;height:11.45pt;z-index:251657728;mso-wrap-distance-left:0;mso-wrap-distance-right:0;mso-position-horizontal:center;mso-position-horizontal-relative:margin" stroked="f">
          <v:fill opacity="0" color2="black"/>
          <v:textbox inset="0,0,0,0">
            <w:txbxContent>
              <w:p w14:paraId="438425FF" w14:textId="77777777" w:rsidR="00290146" w:rsidRDefault="00290146" w:rsidP="00A14FC0">
                <w:pPr>
                  <w:pStyle w:val="Zpat"/>
                </w:pPr>
                <w:r>
                  <w:rPr>
                    <w:rStyle w:val="slostrnky"/>
                  </w:rPr>
                  <w:fldChar w:fldCharType="begin"/>
                </w:r>
                <w:r>
                  <w:rPr>
                    <w:rStyle w:val="slostrnky"/>
                  </w:rPr>
                  <w:instrText xml:space="preserve"> PAGE </w:instrText>
                </w:r>
                <w:r>
                  <w:rPr>
                    <w:rStyle w:val="slostrnky"/>
                  </w:rPr>
                  <w:fldChar w:fldCharType="separate"/>
                </w:r>
                <w:r w:rsidR="00B34137">
                  <w:rPr>
                    <w:rStyle w:val="slostrnky"/>
                    <w:noProof/>
                  </w:rPr>
                  <w:t>5</w:t>
                </w:r>
                <w:r>
                  <w:rPr>
                    <w:rStyle w:val="slostrnky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D166" w14:textId="77777777" w:rsidR="00B15C60" w:rsidRDefault="00B15C60" w:rsidP="00A14FC0">
      <w:r>
        <w:separator/>
      </w:r>
    </w:p>
  </w:footnote>
  <w:footnote w:type="continuationSeparator" w:id="0">
    <w:p w14:paraId="4958FB6D" w14:textId="77777777" w:rsidR="00B15C60" w:rsidRDefault="00B15C60" w:rsidP="00A14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7AC0CA4"/>
    <w:multiLevelType w:val="hybridMultilevel"/>
    <w:tmpl w:val="2A1A92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62EE6"/>
    <w:multiLevelType w:val="hybridMultilevel"/>
    <w:tmpl w:val="C4C094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90CAB"/>
    <w:multiLevelType w:val="hybridMultilevel"/>
    <w:tmpl w:val="73FABE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36BB0"/>
    <w:multiLevelType w:val="hybridMultilevel"/>
    <w:tmpl w:val="3D86AD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43CCE"/>
    <w:multiLevelType w:val="hybridMultilevel"/>
    <w:tmpl w:val="B052CD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70621"/>
    <w:multiLevelType w:val="hybridMultilevel"/>
    <w:tmpl w:val="AFEA20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765532"/>
    <w:multiLevelType w:val="hybridMultilevel"/>
    <w:tmpl w:val="368290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9A5FFB"/>
    <w:multiLevelType w:val="hybridMultilevel"/>
    <w:tmpl w:val="BE0A199E"/>
    <w:lvl w:ilvl="0" w:tplc="0405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453058720">
    <w:abstractNumId w:val="0"/>
  </w:num>
  <w:num w:numId="2" w16cid:durableId="1575775707">
    <w:abstractNumId w:val="1"/>
  </w:num>
  <w:num w:numId="3" w16cid:durableId="1154566856">
    <w:abstractNumId w:val="2"/>
  </w:num>
  <w:num w:numId="4" w16cid:durableId="488446181">
    <w:abstractNumId w:val="3"/>
  </w:num>
  <w:num w:numId="5" w16cid:durableId="1009285303">
    <w:abstractNumId w:val="10"/>
  </w:num>
  <w:num w:numId="6" w16cid:durableId="1226407550">
    <w:abstractNumId w:val="8"/>
  </w:num>
  <w:num w:numId="7" w16cid:durableId="2093695328">
    <w:abstractNumId w:val="9"/>
  </w:num>
  <w:num w:numId="8" w16cid:durableId="1013074442">
    <w:abstractNumId w:val="7"/>
  </w:num>
  <w:num w:numId="9" w16cid:durableId="363294381">
    <w:abstractNumId w:val="4"/>
  </w:num>
  <w:num w:numId="10" w16cid:durableId="816185747">
    <w:abstractNumId w:val="5"/>
  </w:num>
  <w:num w:numId="11" w16cid:durableId="301234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ln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A3D"/>
    <w:rsid w:val="000204A4"/>
    <w:rsid w:val="000328FD"/>
    <w:rsid w:val="000E558E"/>
    <w:rsid w:val="00100FFE"/>
    <w:rsid w:val="001120CF"/>
    <w:rsid w:val="001552D9"/>
    <w:rsid w:val="001857F7"/>
    <w:rsid w:val="001C56AD"/>
    <w:rsid w:val="001D1328"/>
    <w:rsid w:val="001D3E50"/>
    <w:rsid w:val="00211BFC"/>
    <w:rsid w:val="00211CF3"/>
    <w:rsid w:val="00225FF1"/>
    <w:rsid w:val="0028241D"/>
    <w:rsid w:val="0028620A"/>
    <w:rsid w:val="00290146"/>
    <w:rsid w:val="00304E73"/>
    <w:rsid w:val="00343E95"/>
    <w:rsid w:val="00360857"/>
    <w:rsid w:val="004C7E7C"/>
    <w:rsid w:val="00522A3D"/>
    <w:rsid w:val="00573126"/>
    <w:rsid w:val="005D3DDD"/>
    <w:rsid w:val="005D7E11"/>
    <w:rsid w:val="00647C4A"/>
    <w:rsid w:val="0068180A"/>
    <w:rsid w:val="00691665"/>
    <w:rsid w:val="006D1A08"/>
    <w:rsid w:val="006F1773"/>
    <w:rsid w:val="00731139"/>
    <w:rsid w:val="00755EE6"/>
    <w:rsid w:val="007A12AF"/>
    <w:rsid w:val="007C2A3F"/>
    <w:rsid w:val="007D0CF4"/>
    <w:rsid w:val="007D2879"/>
    <w:rsid w:val="00872885"/>
    <w:rsid w:val="008F63B9"/>
    <w:rsid w:val="009500E8"/>
    <w:rsid w:val="00997A20"/>
    <w:rsid w:val="00A14FC0"/>
    <w:rsid w:val="00A372A1"/>
    <w:rsid w:val="00A8441A"/>
    <w:rsid w:val="00B07733"/>
    <w:rsid w:val="00B15C60"/>
    <w:rsid w:val="00B34137"/>
    <w:rsid w:val="00B7135A"/>
    <w:rsid w:val="00B9173C"/>
    <w:rsid w:val="00B951F2"/>
    <w:rsid w:val="00BE5BA1"/>
    <w:rsid w:val="00C03B9B"/>
    <w:rsid w:val="00C521C1"/>
    <w:rsid w:val="00C65BA3"/>
    <w:rsid w:val="00CB390B"/>
    <w:rsid w:val="00D16AAA"/>
    <w:rsid w:val="00DA7C85"/>
    <w:rsid w:val="00DE53F3"/>
    <w:rsid w:val="00E16BF7"/>
    <w:rsid w:val="00E96D00"/>
    <w:rsid w:val="00EF767C"/>
    <w:rsid w:val="00F028CB"/>
    <w:rsid w:val="00F2506E"/>
    <w:rsid w:val="00F55F0A"/>
    <w:rsid w:val="00F7311D"/>
    <w:rsid w:val="00F8028D"/>
    <w:rsid w:val="00F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5A23C55"/>
  <w15:chartTrackingRefBased/>
  <w15:docId w15:val="{F03FC116-3533-48D1-BEA5-4A0303D2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14FC0"/>
    <w:pPr>
      <w:suppressAutoHyphens/>
      <w:spacing w:before="60" w:after="60" w:line="276" w:lineRule="auto"/>
      <w:jc w:val="both"/>
    </w:pPr>
    <w:rPr>
      <w:rFonts w:ascii="Arial" w:hAnsi="Arial" w:cs="Arial"/>
      <w:spacing w:val="-2"/>
      <w:lang w:eastAsia="zh-CN"/>
    </w:rPr>
  </w:style>
  <w:style w:type="paragraph" w:styleId="Nadpis1">
    <w:name w:val="heading 1"/>
    <w:basedOn w:val="Normln"/>
    <w:next w:val="Zkladntext"/>
    <w:qFormat/>
    <w:rsid w:val="00A14FC0"/>
    <w:pPr>
      <w:outlineLvl w:val="0"/>
    </w:pPr>
    <w:rPr>
      <w:b/>
      <w:spacing w:val="0"/>
      <w:sz w:val="22"/>
      <w:szCs w:val="22"/>
    </w:rPr>
  </w:style>
  <w:style w:type="paragraph" w:styleId="Nadpis3">
    <w:name w:val="heading 3"/>
    <w:basedOn w:val="Normln"/>
    <w:next w:val="Normln"/>
    <w:qFormat/>
    <w:pPr>
      <w:keepNext/>
      <w:spacing w:before="240"/>
      <w:outlineLvl w:val="2"/>
    </w:pPr>
    <w:rPr>
      <w:b/>
      <w:bCs/>
      <w:sz w:val="26"/>
      <w:szCs w:val="26"/>
    </w:rPr>
  </w:style>
  <w:style w:type="character" w:default="1" w:styleId="Standardnpsmoodstavce">
    <w:name w:val="Default Paragraph Font"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 w:cs="StarSymbol"/>
      <w:sz w:val="18"/>
      <w:szCs w:val="18"/>
    </w:rPr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character" w:customStyle="1" w:styleId="WW8Num3z0">
    <w:name w:val="WW8Num3z0"/>
    <w:rPr>
      <w:rFonts w:ascii="Wingdings" w:hAnsi="Wingdings" w:cs="StarSymbol"/>
      <w:sz w:val="18"/>
      <w:szCs w:val="18"/>
    </w:rPr>
  </w:style>
  <w:style w:type="character" w:customStyle="1" w:styleId="WW8Num3z1">
    <w:name w:val="WW8Num3z1"/>
    <w:rPr>
      <w:rFonts w:ascii="Wingdings 2" w:hAnsi="Wingdings 2" w:cs="StarSymbol"/>
      <w:sz w:val="18"/>
      <w:szCs w:val="18"/>
    </w:rPr>
  </w:style>
  <w:style w:type="character" w:customStyle="1" w:styleId="WW8Num3z2">
    <w:name w:val="WW8Num3z2"/>
    <w:rPr>
      <w:rFonts w:ascii="StarSymbol" w:hAnsi="StarSymbol" w:cs="StarSymbol"/>
      <w:sz w:val="18"/>
      <w:szCs w:val="18"/>
    </w:rPr>
  </w:style>
  <w:style w:type="character" w:customStyle="1" w:styleId="WW8Num4z0">
    <w:name w:val="WW8Num4z0"/>
    <w:rPr>
      <w:rFonts w:ascii="Wingdings" w:hAnsi="Wingdings" w:cs="StarSymbol"/>
      <w:sz w:val="18"/>
      <w:szCs w:val="18"/>
    </w:rPr>
  </w:style>
  <w:style w:type="character" w:customStyle="1" w:styleId="WW8Num4z1">
    <w:name w:val="WW8Num4z1"/>
    <w:rPr>
      <w:rFonts w:ascii="Wingdings 2" w:hAnsi="Wingdings 2" w:cs="StarSymbol"/>
      <w:sz w:val="18"/>
      <w:szCs w:val="18"/>
    </w:rPr>
  </w:style>
  <w:style w:type="character" w:customStyle="1" w:styleId="WW8Num4z2">
    <w:name w:val="WW8Num4z2"/>
    <w:rPr>
      <w:rFonts w:ascii="StarSymbol" w:hAnsi="StarSymbol" w:cs="StarSymbol"/>
      <w:sz w:val="18"/>
      <w:szCs w:val="18"/>
    </w:rPr>
  </w:style>
  <w:style w:type="character" w:customStyle="1" w:styleId="WW8Num5z0">
    <w:name w:val="WW8Num5z0"/>
    <w:rPr>
      <w:rFonts w:ascii="Arial" w:hAnsi="Arial" w:cs="Arial"/>
      <w:sz w:val="18"/>
      <w:szCs w:val="18"/>
    </w:rPr>
  </w:style>
  <w:style w:type="character" w:customStyle="1" w:styleId="WW8Num5z1">
    <w:name w:val="WW8Num5z1"/>
    <w:rPr>
      <w:rFonts w:ascii="Wingdings 2" w:hAnsi="Wingdings 2" w:cs="StarSymbol"/>
      <w:sz w:val="18"/>
      <w:szCs w:val="18"/>
    </w:rPr>
  </w:style>
  <w:style w:type="character" w:customStyle="1" w:styleId="WW8Num5z2">
    <w:name w:val="WW8Num5z2"/>
    <w:rPr>
      <w:rFonts w:ascii="StarSymbol" w:hAnsi="StarSymbol" w:cs="StarSymbol"/>
      <w:sz w:val="18"/>
      <w:szCs w:val="18"/>
    </w:rPr>
  </w:style>
  <w:style w:type="character" w:customStyle="1" w:styleId="WW8Num5z3">
    <w:name w:val="WW8Num5z3"/>
    <w:rPr>
      <w:rFonts w:ascii="Wingdings" w:hAnsi="Wingdings" w:cs="StarSymbol"/>
      <w:sz w:val="18"/>
      <w:szCs w:val="18"/>
    </w:rPr>
  </w:style>
  <w:style w:type="character" w:customStyle="1" w:styleId="WW8Num6z0">
    <w:name w:val="WW8Num6z0"/>
    <w:rPr>
      <w:rFonts w:ascii="Arial" w:hAnsi="Arial" w:cs="Arial"/>
      <w:sz w:val="18"/>
      <w:szCs w:val="18"/>
    </w:rPr>
  </w:style>
  <w:style w:type="character" w:customStyle="1" w:styleId="WW8Num6z1">
    <w:name w:val="WW8Num6z1"/>
    <w:rPr>
      <w:rFonts w:ascii="Wingdings 2" w:hAnsi="Wingdings 2" w:cs="StarSymbol"/>
      <w:sz w:val="18"/>
      <w:szCs w:val="18"/>
    </w:rPr>
  </w:style>
  <w:style w:type="character" w:customStyle="1" w:styleId="WW8Num6z2">
    <w:name w:val="WW8Num6z2"/>
    <w:rPr>
      <w:rFonts w:ascii="StarSymbol" w:hAnsi="StarSymbol" w:cs="StarSymbol"/>
      <w:sz w:val="18"/>
      <w:szCs w:val="18"/>
    </w:rPr>
  </w:style>
  <w:style w:type="character" w:customStyle="1" w:styleId="WW8Num6z3">
    <w:name w:val="WW8Num6z3"/>
    <w:rPr>
      <w:rFonts w:ascii="Wingdings" w:hAnsi="Wingdings" w:cs="StarSymbol"/>
      <w:sz w:val="18"/>
      <w:szCs w:val="18"/>
    </w:rPr>
  </w:style>
  <w:style w:type="character" w:customStyle="1" w:styleId="Standardnpsmoodstavce1">
    <w:name w:val="Standardní písmo odstavce1"/>
  </w:style>
  <w:style w:type="character" w:customStyle="1" w:styleId="TextnormyChar1">
    <w:name w:val="Text normy Char1"/>
    <w:rPr>
      <w:rFonts w:ascii="Arial" w:hAnsi="Arial" w:cs="Arial"/>
      <w:lang w:val="cs-CZ" w:bidi="ar-SA"/>
    </w:rPr>
  </w:style>
  <w:style w:type="character" w:styleId="Hypertextovodkaz">
    <w:name w:val="Hyperlink"/>
    <w:rPr>
      <w:color w:val="000080"/>
      <w:u w:val="single"/>
    </w:rPr>
  </w:style>
  <w:style w:type="character" w:styleId="slostrnky">
    <w:name w:val="page number"/>
    <w:basedOn w:val="Standardnpsmoodstavce1"/>
  </w:style>
  <w:style w:type="character" w:customStyle="1" w:styleId="Odkaznakoment1">
    <w:name w:val="Odkaz na komentář1"/>
    <w:rPr>
      <w:sz w:val="16"/>
      <w:szCs w:val="16"/>
    </w:rPr>
  </w:style>
  <w:style w:type="character" w:customStyle="1" w:styleId="Odrky">
    <w:name w:val="Odrážky"/>
    <w:rPr>
      <w:rFonts w:ascii="OpenSymbol" w:eastAsia="OpenSymbol" w:hAnsi="OpenSymbol" w:cs="OpenSymbol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Zkladntext">
    <w:name w:val="Body Text"/>
    <w:basedOn w:val="Normln"/>
    <w:pPr>
      <w:spacing w:before="0" w:after="120"/>
    </w:pPr>
  </w:style>
  <w:style w:type="paragraph" w:styleId="Seznam">
    <w:name w:val="List"/>
    <w:basedOn w:val="Zkladntext"/>
    <w:rPr>
      <w:rFonts w:cs="Lohit Hindi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Lohit Hindi"/>
    </w:rPr>
  </w:style>
  <w:style w:type="paragraph" w:customStyle="1" w:styleId="Textnormy">
    <w:name w:val="Text normy"/>
    <w:pPr>
      <w:suppressAutoHyphens/>
      <w:spacing w:after="120"/>
      <w:jc w:val="both"/>
    </w:pPr>
    <w:rPr>
      <w:rFonts w:ascii="Arial" w:hAnsi="Arial" w:cs="Arial"/>
      <w:lang w:eastAsia="zh-CN"/>
    </w:rPr>
  </w:style>
  <w:style w:type="paragraph" w:customStyle="1" w:styleId="Nadpislnku">
    <w:name w:val="Nadpis článku"/>
    <w:basedOn w:val="Textnormy"/>
    <w:next w:val="Textnormy"/>
    <w:pPr>
      <w:keepNext/>
      <w:keepLines/>
      <w:spacing w:before="120"/>
      <w:jc w:val="left"/>
    </w:pPr>
    <w:rPr>
      <w:b/>
    </w:rPr>
  </w:style>
  <w:style w:type="paragraph" w:customStyle="1" w:styleId="1StrTrZn">
    <w:name w:val="1StrTrZn"/>
    <w:basedOn w:val="Textnormy"/>
    <w:pPr>
      <w:spacing w:before="80" w:after="80" w:line="340" w:lineRule="exact"/>
      <w:jc w:val="left"/>
    </w:pPr>
    <w:rPr>
      <w:sz w:val="28"/>
    </w:rPr>
  </w:style>
  <w:style w:type="paragraph" w:customStyle="1" w:styleId="1StrNN-1-23">
    <w:name w:val="1StrNN-1-23"/>
    <w:basedOn w:val="Textnormy"/>
    <w:pPr>
      <w:widowControl w:val="0"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pPr>
      <w:widowControl w:val="0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pPr>
      <w:widowControl w:val="0"/>
      <w:tabs>
        <w:tab w:val="left" w:pos="7371"/>
        <w:tab w:val="right" w:pos="9866"/>
      </w:tabs>
    </w:pPr>
  </w:style>
  <w:style w:type="paragraph" w:customStyle="1" w:styleId="esknorma">
    <w:name w:val="Česká norma"/>
    <w:basedOn w:val="Textnormy"/>
    <w:next w:val="1Str1Rad"/>
    <w:pPr>
      <w:spacing w:after="0"/>
      <w:jc w:val="left"/>
    </w:pPr>
    <w:rPr>
      <w:sz w:val="28"/>
    </w:rPr>
  </w:style>
  <w:style w:type="paragraph" w:customStyle="1" w:styleId="1StrCN">
    <w:name w:val="1StrCN"/>
    <w:basedOn w:val="Textnormy"/>
    <w:next w:val="1StrTrZn"/>
    <w:pPr>
      <w:spacing w:before="180" w:after="0" w:line="340" w:lineRule="exact"/>
      <w:jc w:val="left"/>
    </w:pPr>
    <w:rPr>
      <w:b/>
      <w:sz w:val="32"/>
      <w:lang w:val="cs-CZ" w:eastAsia="cs-CZ"/>
    </w:rPr>
  </w:style>
  <w:style w:type="paragraph" w:customStyle="1" w:styleId="Tabulka">
    <w:name w:val="Tabulka"/>
    <w:basedOn w:val="Normln"/>
    <w:pPr>
      <w:widowControl w:val="0"/>
      <w:suppressLineNumbers/>
      <w:spacing w:before="120" w:after="120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Texttabulky">
    <w:name w:val="Text tabulky"/>
    <w:basedOn w:val="Textnormy"/>
    <w:pPr>
      <w:spacing w:before="60" w:after="60"/>
      <w:jc w:val="left"/>
    </w:pPr>
    <w:rPr>
      <w:rFonts w:eastAsia="Arial"/>
      <w:kern w:val="1"/>
      <w:sz w:val="18"/>
    </w:rPr>
  </w:style>
  <w:style w:type="paragraph" w:customStyle="1" w:styleId="Ilustrace">
    <w:name w:val="Ilustrace"/>
    <w:basedOn w:val="Normln"/>
    <w:pPr>
      <w:widowControl w:val="0"/>
      <w:suppressLineNumbers/>
      <w:spacing w:before="120" w:after="120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NadpisTabObr">
    <w:name w:val="NadpisTabObr"/>
    <w:basedOn w:val="Nadpislnku"/>
    <w:next w:val="Textnormy"/>
    <w:pPr>
      <w:keepNext w:val="0"/>
      <w:jc w:val="center"/>
    </w:pPr>
  </w:style>
  <w:style w:type="paragraph" w:styleId="Zhlav">
    <w:name w:val="header"/>
    <w:basedOn w:val="Textnormy"/>
    <w:rPr>
      <w:sz w:val="18"/>
    </w:r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paragraph" w:customStyle="1" w:styleId="Textkomente1">
    <w:name w:val="Text komentáře1"/>
    <w:basedOn w:val="Normln"/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customStyle="1" w:styleId="Obsahrmce">
    <w:name w:val="Obsah rámce"/>
    <w:basedOn w:val="Zkladntext"/>
  </w:style>
  <w:style w:type="paragraph" w:styleId="Seznamobrzk">
    <w:name w:val="table of figures"/>
    <w:basedOn w:val="Titulek"/>
  </w:style>
  <w:style w:type="character" w:customStyle="1" w:styleId="hps">
    <w:name w:val="hps"/>
    <w:rsid w:val="00F2506E"/>
  </w:style>
  <w:style w:type="character" w:customStyle="1" w:styleId="atn">
    <w:name w:val="atn"/>
    <w:rsid w:val="00F2506E"/>
  </w:style>
  <w:style w:type="character" w:styleId="Odkaznakoment">
    <w:name w:val="annotation reference"/>
    <w:uiPriority w:val="99"/>
    <w:semiHidden/>
    <w:unhideWhenUsed/>
    <w:rsid w:val="00F7311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F7311D"/>
  </w:style>
  <w:style w:type="character" w:customStyle="1" w:styleId="TextkomenteChar">
    <w:name w:val="Text komentáře Char"/>
    <w:link w:val="Textkomente"/>
    <w:uiPriority w:val="99"/>
    <w:rsid w:val="00F7311D"/>
    <w:rPr>
      <w:rFonts w:ascii="Arial" w:hAnsi="Arial" w:cs="Arial"/>
      <w:lang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F7311D"/>
    <w:rPr>
      <w:b/>
      <w:bCs/>
    </w:rPr>
  </w:style>
  <w:style w:type="character" w:customStyle="1" w:styleId="PedmtkomenteChar">
    <w:name w:val="Předmět komentáře Char"/>
    <w:link w:val="Pedmtkomente"/>
    <w:uiPriority w:val="99"/>
    <w:semiHidden/>
    <w:rsid w:val="00F7311D"/>
    <w:rPr>
      <w:rFonts w:ascii="Arial" w:hAnsi="Arial" w:cs="Arial"/>
      <w:b/>
      <w:bCs/>
      <w:lang w:eastAsia="zh-CN"/>
    </w:rPr>
  </w:style>
  <w:style w:type="character" w:customStyle="1" w:styleId="def">
    <w:name w:val="def"/>
    <w:rsid w:val="00997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A2E90BEF-6218-4B43-8D57-EADFEE019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1721</Words>
  <Characters>10156</Characters>
  <Application>Microsoft Office Word</Application>
  <DocSecurity>0</DocSecurity>
  <Lines>84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ČESKÁ TECHNICKÁ NORMA</vt:lpstr>
    </vt:vector>
  </TitlesOfParts>
  <Company>Microsoft</Company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ČESKÁ TECHNICKÁ NORMA</dc:title>
  <dc:subject/>
  <dc:creator>David Bárta</dc:creator>
  <cp:keywords/>
  <cp:lastModifiedBy>Petr Bureš (CZ/TTR)</cp:lastModifiedBy>
  <cp:revision>2</cp:revision>
  <cp:lastPrinted>2008-08-25T22:25:00Z</cp:lastPrinted>
  <dcterms:created xsi:type="dcterms:W3CDTF">2026-03-27T16:00:00Z</dcterms:created>
  <dcterms:modified xsi:type="dcterms:W3CDTF">2026-03-27T16:00:00Z</dcterms:modified>
</cp:coreProperties>
</file>