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before="240" w:after="60"/>
        <w:rPr/>
      </w:pPr>
      <w:bookmarkStart w:id="0" w:name="h.3gb1u46ly9kb"/>
      <w:bookmarkEnd w:id="0"/>
      <w:r>
        <w:rPr/>
        <w:t xml:space="preserve">EXTRAKT z mezinárodní normy ISO</w:t>
      </w:r>
    </w:p>
    <w:p>
      <w:pPr>
        <w:pStyle w:val="Normal"/>
        <w:spacing w:lineRule="auto" w:line="276" w:before="0" w:after="120"/>
        <w:rPr/>
      </w:pPr>
      <w:r>
        <w:rPr>
          <w:b/>
        </w:rPr>
        <w:t>Extrakt nenahrazuje samotnou technickou normu, je pouze informativním materiálem o normě.</w:t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NN-3-23"/>
              <w:spacing w:before="300" w:after="0"/>
              <w:rPr/>
            </w:pPr>
            <w:r>
              <w:rPr/>
              <w:t xml:space="preserve">Inteligentní dopravní systémy (ITS) — </w:t>
              <w:br/>
              <w:t>Rozšíření specifikací mapové databáze pro aplikace kooperativních ITS systémů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/>
              <w:t>ISO 14296</w:t>
              <w:br/>
            </w:r>
          </w:p>
          <w:p>
            <w:pPr>
              <w:pStyle w:val="1StrTrZn"/>
              <w:spacing w:before="80" w:after="80"/>
              <w:rPr/>
            </w:pPr>
            <w:r>
              <w:rPr/>
              <w:t xml:space="preserve"/>
            </w:r>
          </w:p>
        </w:tc>
      </w:tr>
    </w:tbl>
    <w:p>
      <w:pPr>
        <w:pStyle w:val="Standard"/>
        <w:widowControl w:val="false"/>
        <w:tabs>
          <w:tab w:val="clear" w:pos="709"/>
          <w:tab w:val="left" w:pos="7080" w:leader="none"/>
        </w:tabs>
        <w:spacing w:before="0" w:after="60"/>
        <w:jc w:val="end"/>
        <w:rPr>
          <w:kern w:val="0"/>
          <w:sz w:val="28"/>
          <w:szCs w:val="28"/>
        </w:rPr>
      </w:pPr>
      <w:r>
        <w:rPr>
          <w:kern w:val="0"/>
          <w:sz w:val="28"/>
          <w:szCs w:val="28"/>
        </w:rPr>
        <w:t>Vydána 2016, 88 stran</w:t>
      </w:r>
    </w:p>
    <w:p>
      <w:pPr>
        <w:pStyle w:val="Normal"/>
        <w:keepNext w:val="true"/>
        <w:keepLines/>
        <w:spacing w:before="240" w:after="180"/>
        <w:ind w:hanging="432" w:start="432" w:end="0"/>
        <w:rPr>
          <w:b/>
          <w:sz w:val="24"/>
          <w:szCs w:val="24"/>
        </w:rPr>
      </w:pPr>
      <w:r>
        <w:rPr>
          <w:b/>
          <w:kern w:val="0"/>
          <w:sz w:val="24"/>
          <w:szCs w:val="24"/>
        </w:rPr>
      </w:r>
    </w:p>
    <w:p>
      <w:pPr>
        <w:pStyle w:val="Normal"/>
        <w:keepNext w:val="true"/>
        <w:keepLines/>
        <w:spacing w:before="240" w:after="180"/>
        <w:ind w:hanging="432" w:start="432" w:end="0"/>
        <w:rPr>
          <w:b/>
          <w:sz w:val="24"/>
          <w:szCs w:val="24"/>
        </w:rPr>
      </w:pPr>
      <w:r>
        <w:rPr>
          <w:b/>
          <w:sz w:val="24"/>
          <w:szCs w:val="24"/>
        </w:rPr>
        <w:t>Úvod</w:t>
      </w:r>
    </w:p>
    <w:p>
      <w:pPr>
        <w:pStyle w:val="Standard"/>
        <w:tabs>
          <w:tab w:val="clear" w:pos="709"/>
          <w:tab w:val="left" w:pos="266" w:leader="none"/>
        </w:tabs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ISO 14296 je součástí norem zaměřených na oblast navigačních a lokačních systémů a souvisejících aplikací (viz kapitola Souvisící normy). Její uplatnění nalezneme zejména v oblasti navigačních a lokačních systémů, poskytování dopravních služeb, dopravním zpravodajství a systémech řízení dopravy.</w:t>
      </w:r>
    </w:p>
    <w:p>
      <w:pPr>
        <w:pStyle w:val="Standard"/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Tato norma je věnována popisu základní sady aplikací pro kooperativní ITS systémy. Tyto aplikace jsou užívány ve vozidlové navigaci a v navigačních produktech nejrůznějších poskytovatelů mapových podkladů (Google, Garmin, HERE, CCS apod.).</w:t>
      </w:r>
    </w:p>
    <w:p>
      <w:pPr>
        <w:pStyle w:val="Standard"/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Jedná se zejména o metody podporující dynamickou formu navigace, služby podporující řízení a navigační služby ve vozidlech a v multimodální dopravě. Z tohoto pohledu je norma vhodná i pro tvůrce či provozovatele dopravních informačních center, správce významných dopravních objektů (tunelové stavby, dálniční stavby apod.).</w:t>
      </w:r>
    </w:p>
    <w:p>
      <w:pPr>
        <w:pStyle w:val="Standard"/>
        <w:tabs>
          <w:tab w:val="clear" w:pos="709"/>
          <w:tab w:val="left" w:pos="266" w:leader="none"/>
        </w:tabs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 xml:space="preserve">Poznámka: Extrakt uvádí vybrané kapitoly popisovaného dokumentu a přejímá původní číslování kapitol.</w:t>
      </w:r>
    </w:p>
    <w:p>
      <w:pPr>
        <w:pStyle w:val="Normal"/>
        <w:keepNext w:val="true"/>
        <w:keepLines/>
        <w:spacing w:before="240" w:after="180"/>
        <w:rPr>
          <w:b/>
          <w:sz w:val="24"/>
          <w:szCs w:val="24"/>
        </w:rPr>
      </w:pPr>
      <w:r>
        <w:rPr>
          <w:b/>
          <w:sz w:val="24"/>
          <w:szCs w:val="24"/>
        </w:rPr>
        <w:t>Užití</w:t>
      </w:r>
    </w:p>
    <w:p>
      <w:pPr>
        <w:pStyle w:val="Standard"/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Norma přispívá vývojářům kooperativních ITS aplikací v šíření jejich aplikačních výstupů. Tyto aplikace těží z dostupnosti normalizovaného datového modelu a datových prvků. V konečném důsledku umožňuje vývojářům zkrátit čas potřebný k uplatnění nového produktu a služby na trhu. Norma nedefinuje datový model pro individuální navigační služby mimo vozidlovou navigaci.</w:t>
      </w:r>
    </w:p>
    <w:p>
      <w:pPr>
        <w:pStyle w:val="Standard"/>
        <w:rPr/>
      </w:pPr>
      <w:r>
        <w:rPr>
          <w:b/>
          <w:sz w:val="20"/>
          <w:szCs w:val="20"/>
        </w:rPr>
        <w:t xml:space="preserve">Pro orgány státní správy </w:t>
      </w:r>
      <w:r>
        <w:rPr>
          <w:sz w:val="20"/>
          <w:szCs w:val="20"/>
        </w:rPr>
        <w:t xml:space="preserve">tato norma </w:t>
      </w:r>
      <w:r>
        <w:rPr>
          <w:color w:val="000000"/>
          <w:kern w:val="0"/>
          <w:sz w:val="20"/>
          <w:szCs w:val="20"/>
        </w:rPr>
        <w:t>představuje popis současných technologií v oblasti poskytování aktuálních dopravních informací, jako jsou metody ITS-RSU, VICS, či RDS/TMC.</w:t>
      </w:r>
    </w:p>
    <w:p>
      <w:pPr>
        <w:pStyle w:val="Normal"/>
        <w:keepNext w:val="true"/>
        <w:keepLines/>
        <w:spacing w:before="240" w:after="180"/>
        <w:ind w:hanging="432" w:start="432" w:end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 Předmět normy</w:t>
      </w:r>
    </w:p>
    <w:p>
      <w:pPr>
        <w:pStyle w:val="Standard"/>
        <w:rPr>
          <w:sz w:val="20"/>
          <w:szCs w:val="20"/>
        </w:rPr>
      </w:pPr>
      <w:r>
        <w:rPr>
          <w:sz w:val="20"/>
          <w:szCs w:val="20"/>
        </w:rPr>
        <w:t>Norma poskytuje mapově vztažené funkční požadavky, datový model (logický datový model / organizaci logických dat) a datové prvky pro aplikace kooperativních ITS systémů, které vyžadují informace odvozené z mapových databází.</w:t>
      </w:r>
    </w:p>
    <w:p>
      <w:pPr>
        <w:pStyle w:val="Standard"/>
        <w:rPr>
          <w:sz w:val="20"/>
          <w:szCs w:val="20"/>
        </w:rPr>
      </w:pPr>
      <w:r>
        <w:rPr>
          <w:sz w:val="20"/>
          <w:szCs w:val="20"/>
        </w:rPr>
        <w:t>Kapitoly 2 a 3 stručně popisují souvisící normy, kterým tento dokument vyhovuje a je s nimi ve shodě.</w:t>
      </w:r>
    </w:p>
    <w:p>
      <w:pPr>
        <w:pStyle w:val="Standard"/>
        <w:keepNext w:val="true"/>
        <w:keepLines/>
        <w:widowControl w:val="false"/>
        <w:spacing w:before="240" w:after="180"/>
        <w:ind w:hanging="432" w:start="432" w:end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 Souvisící normy</w:t>
      </w:r>
    </w:p>
    <w:p>
      <w:pPr>
        <w:pStyle w:val="Textnormy"/>
        <w:rPr/>
      </w:pPr>
      <w:r>
        <w:rPr/>
        <w:t>ISO 14825:2011</w:t>
        <w:tab/>
        <w:t>Intelligent transport systems – Geographic Data Files (GDF) – GDF5.0</w:t>
      </w:r>
    </w:p>
    <w:p>
      <w:pPr>
        <w:pStyle w:val="Textnormy"/>
        <w:rPr/>
      </w:pPr>
      <w:r>
        <w:rPr/>
        <w:t>ISO/IEC 19501:2005</w:t>
        <w:tab/>
        <w:t>Information technology – Open Distributed Processing – Unified Modeling Language (UML) Version 1.4.2</w:t>
      </w:r>
    </w:p>
    <w:p>
      <w:pPr>
        <w:pStyle w:val="Textnormy"/>
        <w:rPr/>
      </w:pPr>
      <w:r>
        <w:rPr/>
        <w:t>ISO/TS 20452:2007</w:t>
        <w:tab/>
        <w:t>Requirements and Logical Data Model for a Physical Storage Format (PSF) and an Application Program Interface (API) and Logical Data Organization for PSF used in Intelligent Transport Systems (ITS) Database Technology</w:t>
      </w:r>
    </w:p>
    <w:p>
      <w:pPr>
        <w:pStyle w:val="Standard"/>
        <w:keepNext w:val="true"/>
        <w:keepLines/>
        <w:widowControl w:val="false"/>
        <w:spacing w:before="240" w:after="180"/>
        <w:ind w:hanging="432" w:start="432" w:end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 Termíny a definice</w:t>
      </w:r>
    </w:p>
    <w:p>
      <w:pPr>
        <w:pStyle w:val="Standard"/>
        <w:rPr>
          <w:sz w:val="20"/>
          <w:szCs w:val="20"/>
        </w:rPr>
      </w:pPr>
      <w:r>
        <w:rPr>
          <w:sz w:val="20"/>
          <w:szCs w:val="20"/>
        </w:rPr>
        <w:t>Kapitola obsahuje 37 termínů a definic souvisících s touto normou. Klíčové termíny jsou následující:</w:t>
      </w:r>
    </w:p>
    <w:p>
      <w:pPr>
        <w:pStyle w:val="Standard"/>
        <w:jc w:val="start"/>
        <w:rPr/>
      </w:pPr>
      <w:r>
        <w:rPr>
          <w:b/>
          <w:sz w:val="20"/>
          <w:szCs w:val="20"/>
        </w:rPr>
        <w:t xml:space="preserve">nastavení polohy </w:t>
      </w:r>
      <w:r>
        <w:rPr>
          <w:i/>
          <w:sz w:val="20"/>
          <w:szCs w:val="20"/>
        </w:rPr>
        <w:t>(positioning)</w:t>
      </w:r>
      <w:r>
        <w:rPr>
          <w:sz w:val="20"/>
          <w:szCs w:val="20"/>
        </w:rPr>
        <w:tab/>
        <w:t xml:space="preserve">– </w:t>
      </w:r>
      <w:hyperlink r:id="rId2">
        <w:r>
          <w:rPr>
            <w:rStyle w:val="Hyperlink"/>
            <w:sz w:val="20"/>
            <w:szCs w:val="20"/>
          </w:rPr>
          <w:t>kategorie</w:t>
        </w:r>
      </w:hyperlink>
      <w:r>
        <w:rPr>
          <w:sz w:val="20"/>
          <w:szCs w:val="20"/>
        </w:rPr>
        <w:t xml:space="preserve"> </w:t>
      </w:r>
      <w:hyperlink r:id="rId3">
        <w:r>
          <w:rPr>
            <w:rStyle w:val="Hyperlink"/>
            <w:sz w:val="20"/>
            <w:szCs w:val="20"/>
          </w:rPr>
          <w:t>aplikace</w:t>
        </w:r>
      </w:hyperlink>
      <w:r>
        <w:rPr>
          <w:sz w:val="20"/>
          <w:szCs w:val="20"/>
        </w:rPr>
        <w:t xml:space="preserve">, která se zabývá stanovením </w:t>
      </w:r>
      <w:hyperlink r:id="rId4">
        <w:r>
          <w:rPr>
            <w:rStyle w:val="Hyperlink"/>
            <w:sz w:val="20"/>
            <w:szCs w:val="20"/>
          </w:rPr>
          <w:t>polohy</w:t>
        </w:r>
      </w:hyperlink>
      <w:r>
        <w:rPr>
          <w:sz w:val="20"/>
          <w:szCs w:val="20"/>
        </w:rPr>
        <w:t xml:space="preserve"> </w:t>
      </w:r>
      <w:hyperlink r:id="rId5">
        <w:r>
          <w:rPr>
            <w:rStyle w:val="Hyperlink"/>
            <w:sz w:val="20"/>
            <w:szCs w:val="20"/>
          </w:rPr>
          <w:t>vozidla</w:t>
        </w:r>
      </w:hyperlink>
      <w:r>
        <w:rPr>
          <w:sz w:val="20"/>
          <w:szCs w:val="20"/>
        </w:rPr>
        <w:t xml:space="preserve"> a přizpůsobením </w:t>
      </w:r>
      <w:hyperlink r:id="rId6">
        <w:r>
          <w:rPr>
            <w:rStyle w:val="Hyperlink"/>
            <w:sz w:val="20"/>
            <w:szCs w:val="20"/>
          </w:rPr>
          <w:t>polohy</w:t>
        </w:r>
      </w:hyperlink>
      <w:r>
        <w:rPr>
          <w:sz w:val="20"/>
          <w:szCs w:val="20"/>
        </w:rPr>
        <w:t xml:space="preserve"> na </w:t>
      </w:r>
      <w:hyperlink r:id="rId7">
        <w:r>
          <w:rPr>
            <w:rStyle w:val="Hyperlink"/>
            <w:sz w:val="20"/>
            <w:szCs w:val="20"/>
          </w:rPr>
          <w:t>mapu</w:t>
        </w:r>
      </w:hyperlink>
      <w:r>
        <w:rPr>
          <w:sz w:val="20"/>
          <w:szCs w:val="20"/>
        </w:rPr>
        <w:t xml:space="preserve"> </w:t>
      </w:r>
    </w:p>
    <w:p>
      <w:pPr>
        <w:pStyle w:val="Standard"/>
        <w:jc w:val="start"/>
        <w:rPr>
          <w:sz w:val="20"/>
          <w:szCs w:val="20"/>
        </w:rPr>
      </w:pPr>
      <w:r>
        <w:rPr>
          <w:b/>
          <w:sz w:val="20"/>
          <w:szCs w:val="20"/>
        </w:rPr>
        <w:t xml:space="preserve">geokódování </w:t>
      </w:r>
      <w:r>
        <w:rPr>
          <w:i/>
          <w:sz w:val="20"/>
          <w:szCs w:val="20"/>
        </w:rPr>
        <w:t>(geocoding)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– softwarový proces přiřazování </w:t>
      </w:r>
      <w:hyperlink r:id="rId8">
        <w:r>
          <w:rPr>
            <w:rStyle w:val="Hyperlink"/>
            <w:sz w:val="20"/>
            <w:szCs w:val="20"/>
          </w:rPr>
          <w:t>adresy</w:t>
        </w:r>
      </w:hyperlink>
      <w:r>
        <w:rPr>
          <w:sz w:val="20"/>
          <w:szCs w:val="20"/>
        </w:rPr>
        <w:t xml:space="preserve"> (ulice) nebo jiné geografické </w:t>
      </w:r>
      <w:hyperlink r:id="rId9">
        <w:r>
          <w:rPr>
            <w:rStyle w:val="Hyperlink"/>
            <w:sz w:val="20"/>
            <w:szCs w:val="20"/>
          </w:rPr>
          <w:t>entity</w:t>
        </w:r>
      </w:hyperlink>
      <w:r>
        <w:rPr>
          <w:sz w:val="20"/>
          <w:szCs w:val="20"/>
        </w:rPr>
        <w:t xml:space="preserve"> do mapové </w:t>
      </w:r>
      <w:hyperlink r:id="rId10">
        <w:r>
          <w:rPr>
            <w:rStyle w:val="Hyperlink"/>
            <w:sz w:val="20"/>
            <w:szCs w:val="20"/>
          </w:rPr>
          <w:t>databáze</w:t>
        </w:r>
      </w:hyperlink>
      <w:r>
        <w:rPr>
          <w:sz w:val="20"/>
          <w:szCs w:val="20"/>
        </w:rPr>
        <w:t xml:space="preserve"> za účelem odvození (získání) geografických </w:t>
      </w:r>
      <w:hyperlink r:id="rId11">
        <w:r>
          <w:rPr>
            <w:rStyle w:val="Hyperlink"/>
            <w:sz w:val="20"/>
            <w:szCs w:val="20"/>
          </w:rPr>
          <w:t>souřadnic</w:t>
        </w:r>
      </w:hyperlink>
      <w:r>
        <w:rPr>
          <w:sz w:val="20"/>
          <w:szCs w:val="20"/>
        </w:rPr>
        <w:t xml:space="preserve"> </w:t>
      </w:r>
      <w:hyperlink r:id="rId12">
        <w:r>
          <w:rPr>
            <w:rStyle w:val="Hyperlink"/>
            <w:sz w:val="20"/>
            <w:szCs w:val="20"/>
          </w:rPr>
          <w:t>adresy</w:t>
        </w:r>
      </w:hyperlink>
      <w:r>
        <w:rPr>
          <w:sz w:val="20"/>
          <w:szCs w:val="20"/>
        </w:rPr>
        <w:t xml:space="preserve"> nebo souvisejícího </w:t>
      </w:r>
      <w:hyperlink r:id="rId13">
        <w:r>
          <w:rPr>
            <w:rStyle w:val="Hyperlink"/>
            <w:sz w:val="20"/>
            <w:szCs w:val="20"/>
          </w:rPr>
          <w:t>úseku</w:t>
        </w:r>
      </w:hyperlink>
      <w:r>
        <w:rPr>
          <w:sz w:val="20"/>
          <w:szCs w:val="20"/>
        </w:rPr>
        <w:t xml:space="preserve"> ulice</w:t>
      </w:r>
    </w:p>
    <w:p>
      <w:pPr>
        <w:pStyle w:val="Standard"/>
        <w:jc w:val="start"/>
        <w:rPr>
          <w:sz w:val="20"/>
          <w:szCs w:val="20"/>
        </w:rPr>
      </w:pPr>
      <w:r>
        <w:rPr>
          <w:b/>
          <w:sz w:val="20"/>
          <w:szCs w:val="20"/>
        </w:rPr>
        <w:t xml:space="preserve">přiřazení adresy </w:t>
      </w:r>
      <w:r>
        <w:rPr>
          <w:i/>
          <w:sz w:val="20"/>
          <w:szCs w:val="20"/>
        </w:rPr>
        <w:t xml:space="preserve">(address location) – </w:t>
      </w:r>
      <w:hyperlink r:id="rId14">
        <w:r>
          <w:rPr>
            <w:rStyle w:val="Hyperlink"/>
            <w:sz w:val="20"/>
            <w:szCs w:val="20"/>
          </w:rPr>
          <w:t>kategorie</w:t>
        </w:r>
      </w:hyperlink>
      <w:r>
        <w:rPr>
          <w:sz w:val="20"/>
          <w:szCs w:val="20"/>
        </w:rPr>
        <w:t xml:space="preserve"> </w:t>
      </w:r>
      <w:hyperlink r:id="rId15">
        <w:r>
          <w:rPr>
            <w:rStyle w:val="Hyperlink"/>
            <w:sz w:val="20"/>
            <w:szCs w:val="20"/>
          </w:rPr>
          <w:t>aplikace</w:t>
        </w:r>
      </w:hyperlink>
      <w:r>
        <w:rPr>
          <w:sz w:val="20"/>
          <w:szCs w:val="20"/>
        </w:rPr>
        <w:t xml:space="preserve">, která se zabývá úlohami vyjadřujícími reálnou polohu na zemi v </w:t>
      </w:r>
      <w:hyperlink r:id="rId16">
        <w:r>
          <w:rPr>
            <w:rStyle w:val="Hyperlink"/>
            <w:sz w:val="20"/>
            <w:szCs w:val="20"/>
          </w:rPr>
          <w:t>rámci</w:t>
        </w:r>
      </w:hyperlink>
      <w:r>
        <w:rPr>
          <w:sz w:val="20"/>
          <w:szCs w:val="20"/>
        </w:rPr>
        <w:t xml:space="preserve"> datové reprezentace PSF (Physical Storage Format)</w:t>
      </w:r>
    </w:p>
    <w:p>
      <w:pPr>
        <w:pStyle w:val="Standard"/>
        <w:jc w:val="start"/>
        <w:rPr>
          <w:sz w:val="20"/>
          <w:szCs w:val="20"/>
        </w:rPr>
      </w:pPr>
      <w:r>
        <w:rPr>
          <w:b/>
          <w:sz w:val="20"/>
          <w:szCs w:val="20"/>
        </w:rPr>
        <w:t xml:space="preserve">propojení </w:t>
      </w:r>
      <w:r>
        <w:rPr>
          <w:i/>
          <w:sz w:val="20"/>
          <w:szCs w:val="20"/>
        </w:rPr>
        <w:t xml:space="preserve">(junction) – </w:t>
      </w:r>
      <w:hyperlink r:id="rId17">
        <w:r>
          <w:rPr>
            <w:rStyle w:val="Hyperlink"/>
            <w:sz w:val="20"/>
            <w:szCs w:val="20"/>
          </w:rPr>
          <w:t>entita</w:t>
        </w:r>
      </w:hyperlink>
      <w:r>
        <w:rPr>
          <w:sz w:val="20"/>
          <w:szCs w:val="20"/>
        </w:rPr>
        <w:t xml:space="preserve"> </w:t>
      </w:r>
      <w:hyperlink r:id="rId18">
        <w:r>
          <w:rPr>
            <w:rStyle w:val="Hyperlink"/>
            <w:sz w:val="20"/>
            <w:szCs w:val="20"/>
          </w:rPr>
          <w:t>datového modelu</w:t>
        </w:r>
      </w:hyperlink>
      <w:r>
        <w:rPr>
          <w:sz w:val="20"/>
          <w:szCs w:val="20"/>
        </w:rPr>
        <w:t xml:space="preserve">, která reprezentuje </w:t>
      </w:r>
      <w:hyperlink r:id="rId19">
        <w:r>
          <w:rPr>
            <w:rStyle w:val="Hyperlink"/>
            <w:sz w:val="20"/>
            <w:szCs w:val="20"/>
          </w:rPr>
          <w:t>navigační geoprvek</w:t>
        </w:r>
      </w:hyperlink>
      <w:r>
        <w:rPr>
          <w:sz w:val="20"/>
          <w:szCs w:val="20"/>
        </w:rPr>
        <w:t xml:space="preserve">, kterým je buď pojmenované </w:t>
      </w:r>
      <w:hyperlink r:id="rId20">
        <w:r>
          <w:rPr>
            <w:rStyle w:val="Hyperlink"/>
            <w:sz w:val="20"/>
            <w:szCs w:val="20"/>
          </w:rPr>
          <w:t>propojení</w:t>
        </w:r>
      </w:hyperlink>
      <w:r>
        <w:rPr>
          <w:sz w:val="20"/>
          <w:szCs w:val="20"/>
        </w:rPr>
        <w:t xml:space="preserve">, nebo pojmenované </w:t>
      </w:r>
      <w:hyperlink r:id="rId21">
        <w:r>
          <w:rPr>
            <w:rStyle w:val="Hyperlink"/>
            <w:sz w:val="20"/>
            <w:szCs w:val="20"/>
          </w:rPr>
          <w:t>křížení</w:t>
        </w:r>
      </w:hyperlink>
      <w:r>
        <w:rPr>
          <w:sz w:val="20"/>
          <w:szCs w:val="20"/>
        </w:rPr>
        <w:t xml:space="preserve"> a které přiřazuje pojmenovaný </w:t>
      </w:r>
      <w:hyperlink r:id="rId22">
        <w:r>
          <w:rPr>
            <w:rStyle w:val="Hyperlink"/>
            <w:sz w:val="20"/>
            <w:szCs w:val="20"/>
          </w:rPr>
          <w:t>navigační geoprvek</w:t>
        </w:r>
      </w:hyperlink>
      <w:r>
        <w:rPr>
          <w:sz w:val="20"/>
          <w:szCs w:val="20"/>
        </w:rPr>
        <w:t xml:space="preserve"> k množině linií, </w:t>
      </w:r>
      <w:hyperlink r:id="rId23">
        <w:r>
          <w:rPr>
            <w:rStyle w:val="Hyperlink"/>
            <w:sz w:val="20"/>
            <w:szCs w:val="20"/>
          </w:rPr>
          <w:t>uzlů</w:t>
        </w:r>
      </w:hyperlink>
      <w:r>
        <w:rPr>
          <w:sz w:val="20"/>
          <w:szCs w:val="20"/>
        </w:rPr>
        <w:t xml:space="preserve"> a </w:t>
      </w:r>
      <w:hyperlink r:id="rId24">
        <w:r>
          <w:rPr>
            <w:rStyle w:val="Hyperlink"/>
            <w:sz w:val="20"/>
            <w:szCs w:val="20"/>
          </w:rPr>
          <w:t>míst</w:t>
        </w:r>
      </w:hyperlink>
    </w:p>
    <w:p>
      <w:pPr>
        <w:pStyle w:val="Standard"/>
        <w:jc w:val="start"/>
        <w:rPr>
          <w:sz w:val="20"/>
          <w:szCs w:val="20"/>
        </w:rPr>
      </w:pPr>
      <w:r>
        <w:rPr>
          <w:b/>
          <w:sz w:val="20"/>
          <w:szCs w:val="20"/>
        </w:rPr>
        <w:t xml:space="preserve">bod zájmu </w:t>
      </w:r>
      <w:r>
        <w:rPr>
          <w:i/>
          <w:sz w:val="20"/>
          <w:szCs w:val="20"/>
        </w:rPr>
        <w:t xml:space="preserve">(point of interest) – </w:t>
      </w:r>
      <w:r>
        <w:rPr>
          <w:sz w:val="20"/>
          <w:szCs w:val="20"/>
        </w:rPr>
        <w:t>cíl a/nebo místo zájmu cestujících, obvykle nekomerční povahy</w:t>
      </w:r>
    </w:p>
    <w:p>
      <w:pPr>
        <w:pStyle w:val="Standard"/>
        <w:tabs>
          <w:tab w:val="clear" w:pos="709"/>
          <w:tab w:val="left" w:pos="266" w:leader="none"/>
        </w:tabs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 xml:space="preserve">Další termíny a zkratky z oboru ITS jsou obsaženy ve slovníku ITS terminology.</w:t>
      </w:r>
    </w:p>
    <w:p>
      <w:pPr>
        <w:pStyle w:val="Standard"/>
        <w:keepNext w:val="true"/>
        <w:keepLines/>
        <w:widowControl w:val="false"/>
        <w:spacing w:before="240" w:after="180"/>
        <w:ind w:hanging="432" w:start="432" w:end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5 Symboly a zkratky</w:t>
      </w:r>
    </w:p>
    <w:p>
      <w:pPr>
        <w:pStyle w:val="Standard"/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Kapitola obsahuje 10 nejrůznějších zkratek vztahujících se k předmětu normy, z nichž nejdůležitější jsou následující:</w:t>
      </w:r>
    </w:p>
    <w:p>
      <w:pPr>
        <w:pStyle w:val="Standard"/>
        <w:tabs>
          <w:tab w:val="clear" w:pos="709"/>
          <w:tab w:val="left" w:pos="1134" w:leader="none"/>
        </w:tabs>
        <w:rPr>
          <w:i/>
          <w:sz w:val="20"/>
          <w:szCs w:val="20"/>
        </w:rPr>
      </w:pPr>
      <w:r>
        <w:rPr>
          <w:sz w:val="20"/>
          <w:szCs w:val="20"/>
        </w:rPr>
        <w:t xml:space="preserve">GDF </w:t>
        <w:tab/>
        <w:t xml:space="preserve">geografické datové soubory </w:t>
      </w:r>
      <w:r>
        <w:rPr>
          <w:i/>
          <w:sz w:val="20"/>
          <w:szCs w:val="20"/>
        </w:rPr>
        <w:t>(Geographic Data Files)</w:t>
      </w:r>
    </w:p>
    <w:p>
      <w:pPr>
        <w:pStyle w:val="Standard"/>
        <w:tabs>
          <w:tab w:val="clear" w:pos="709"/>
          <w:tab w:val="left" w:pos="1134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LDM </w:t>
        <w:tab/>
        <w:t xml:space="preserve">lokální dynamická mapa </w:t>
      </w:r>
      <w:r>
        <w:rPr>
          <w:i/>
          <w:sz w:val="20"/>
          <w:szCs w:val="20"/>
        </w:rPr>
        <w:t>(Local Dynamic Map)</w:t>
      </w:r>
    </w:p>
    <w:p>
      <w:pPr>
        <w:pStyle w:val="Standard"/>
        <w:tabs>
          <w:tab w:val="clear" w:pos="709"/>
          <w:tab w:val="left" w:pos="1134" w:leader="none"/>
        </w:tabs>
        <w:rPr>
          <w:sz w:val="20"/>
          <w:szCs w:val="20"/>
        </w:rPr>
      </w:pPr>
      <w:r>
        <w:rPr>
          <w:sz w:val="20"/>
          <w:szCs w:val="20"/>
        </w:rPr>
        <w:t>POI</w:t>
        <w:tab/>
        <w:t xml:space="preserve">bod zájmu </w:t>
      </w:r>
      <w:r>
        <w:rPr>
          <w:i/>
          <w:sz w:val="20"/>
          <w:szCs w:val="20"/>
        </w:rPr>
        <w:t>(Point of Interest)</w:t>
      </w:r>
    </w:p>
    <w:p>
      <w:pPr>
        <w:pStyle w:val="Standard"/>
        <w:tabs>
          <w:tab w:val="clear" w:pos="709"/>
          <w:tab w:val="left" w:pos="1134" w:leader="none"/>
        </w:tabs>
        <w:ind w:hanging="1134" w:start="1134" w:end="0"/>
        <w:rPr>
          <w:sz w:val="20"/>
          <w:szCs w:val="20"/>
        </w:rPr>
      </w:pPr>
      <w:r>
        <w:rPr>
          <w:sz w:val="20"/>
          <w:szCs w:val="20"/>
        </w:rPr>
        <w:t xml:space="preserve">ITS-RSU </w:t>
        <w:tab/>
        <w:t xml:space="preserve">inteligentní dopravní systém – jednotka zařízení na pozemní komunikaci </w:t>
      </w:r>
      <w:r>
        <w:rPr>
          <w:i/>
          <w:sz w:val="20"/>
          <w:szCs w:val="20"/>
        </w:rPr>
        <w:t>(Intelligent Transport System - Road Side Unit)</w:t>
      </w:r>
    </w:p>
    <w:p>
      <w:pPr>
        <w:pStyle w:val="Textnormy"/>
        <w:tabs>
          <w:tab w:val="clear" w:pos="709"/>
          <w:tab w:val="left" w:pos="1134" w:leader="none"/>
        </w:tabs>
        <w:ind w:hanging="720" w:start="720" w:end="0"/>
        <w:rPr/>
      </w:pPr>
      <w:r>
        <w:rPr/>
        <w:t>RDS-TMC</w:t>
        <w:tab/>
        <w:t xml:space="preserve">RDS rádiový datový systém (Digitální informační kanál na vlnách FM; TMC kanál pro přenos </w:t>
        <w:tab/>
        <w:tab/>
        <w:t>dopravních informací prostřednictvím RDS)</w:t>
      </w:r>
    </w:p>
    <w:p>
      <w:pPr>
        <w:pStyle w:val="Textnormy"/>
        <w:tabs>
          <w:tab w:val="clear" w:pos="709"/>
          <w:tab w:val="left" w:pos="1134" w:leader="none"/>
        </w:tabs>
        <w:rPr/>
      </w:pPr>
      <w:r>
        <w:rPr/>
        <w:t>VICS</w:t>
        <w:tab/>
        <w:t xml:space="preserve">vozidlový informační a komunikační systém </w:t>
      </w:r>
      <w:r>
        <w:rPr>
          <w:i/>
        </w:rPr>
        <w:t>(Vehicle Information and Communication System)</w:t>
      </w:r>
    </w:p>
    <w:p>
      <w:pPr>
        <w:pStyle w:val="Standard"/>
        <w:tabs>
          <w:tab w:val="clear" w:pos="709"/>
          <w:tab w:val="left" w:pos="266" w:leader="none"/>
        </w:tabs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 xml:space="preserve">Další termíny a zkratky z oboru ITS jsou obsaženy ve slovníku ITS terminology (www.ITSterminology.org).</w:t>
      </w:r>
    </w:p>
    <w:p>
      <w:pPr>
        <w:pStyle w:val="Standard"/>
        <w:keepNext w:val="true"/>
        <w:keepLines/>
        <w:widowControl w:val="false"/>
        <w:spacing w:before="240" w:after="180"/>
        <w:ind w:hanging="432" w:start="432" w:end="0"/>
        <w:rPr>
          <w:b/>
          <w:sz w:val="24"/>
          <w:szCs w:val="24"/>
        </w:rPr>
      </w:pPr>
      <w:r>
        <w:rPr>
          <w:b/>
          <w:sz w:val="24"/>
          <w:szCs w:val="24"/>
        </w:rPr>
        <w:t>6 Požadavky</w:t>
      </w:r>
    </w:p>
    <w:p>
      <w:pPr>
        <w:pStyle w:val="Standard"/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Tato kapitola je členěna do dvou základních částí popisující aplikační a funkční požadavky pro aplikace kooperativních ITS systémů. Šest aplikačních kategorií (zobrazení mapy, nastavení polohy, plánování trasy, navádění na cíl, služby/POI přístup k informacím a umístění adresy) pro navigační funkcionalitu jsou definovány ve shodě s ISO/TS 20452:2007. V této normě jsou nově definovány kooperativní ITS systémy (včetně podpory řízení) a funkcí podpory multi-modální dopravy.</w:t>
      </w:r>
    </w:p>
    <w:p>
      <w:pPr>
        <w:pStyle w:val="Standard"/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Mezi základní funkce této množiny patří funkce zobrazení mapy. Tato funkce poskytuje kartografická data, která mohou být využita k zobrazení mapy jakékoliv aplikace libovolně orientovaného pravoúhelníku v databázi. Data jsou složena z databázových entit podporujících rozmanitost stylů pro vykreslování mapy: kartografické geoprvky, kartografický text a symboly.</w:t>
      </w:r>
    </w:p>
    <w:p>
      <w:pPr>
        <w:pStyle w:val="Standard"/>
        <w:rPr>
          <w:color w:val="000000"/>
          <w:kern w:val="0"/>
          <w:sz w:val="20"/>
          <w:szCs w:val="20"/>
          <w:u w:val="single"/>
        </w:rPr>
      </w:pPr>
      <w:r>
        <w:rPr>
          <w:color w:val="000000"/>
          <w:kern w:val="0"/>
          <w:sz w:val="20"/>
          <w:szCs w:val="20"/>
          <w:u w:val="single"/>
        </w:rPr>
        <w:t>Zobrazení mapy poskytuje následující metody přístupu k datům (výčet není úplný):</w:t>
      </w:r>
    </w:p>
    <w:p>
      <w:pPr>
        <w:pStyle w:val="Standard"/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- R-1. Prostřednictvím kartografických geoprvků, kartografického textu a vlastnosti symbolů, kartografického textu a symbolů pro aplikačně specifikovaný pravoúhelník, prostřednictvím hladiny a typu geoprvku;</w:t>
      </w:r>
    </w:p>
    <w:p>
      <w:pPr>
        <w:pStyle w:val="Standard"/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- R-2. Prostřednictvím souřadnic pro aplikačně určený kartografický geoprvek;</w:t>
      </w:r>
    </w:p>
    <w:p>
      <w:pPr>
        <w:pStyle w:val="Standard"/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- R-3. Prostřednictvím atributů kartografických geoprvků, jako jsou: typ geoprvku, název a funkční začlenění;</w:t>
      </w:r>
    </w:p>
    <w:p>
      <w:pPr>
        <w:pStyle w:val="Standard"/>
        <w:numPr>
          <w:ilvl w:val="0"/>
          <w:numId w:val="17"/>
        </w:numPr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R-4. Prostřednictvím úplných či částečných kartografických geoprvků propojených s aplikačně specifikovanými dopravními prvky;</w:t>
      </w:r>
    </w:p>
    <w:p>
      <w:pPr>
        <w:pStyle w:val="Standard"/>
        <w:numPr>
          <w:ilvl w:val="0"/>
          <w:numId w:val="17"/>
        </w:numPr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R-5. Prostřednictvím oblasti (velikosti), aplikačně specifikovaného rovinného geoprvku;</w:t>
      </w:r>
    </w:p>
    <w:p>
      <w:pPr>
        <w:pStyle w:val="Standard"/>
        <w:rPr>
          <w:color w:val="000000"/>
          <w:kern w:val="0"/>
          <w:sz w:val="20"/>
          <w:szCs w:val="20"/>
          <w:u w:val="single"/>
        </w:rPr>
      </w:pPr>
      <w:r>
        <w:rPr>
          <w:color w:val="000000"/>
          <w:kern w:val="0"/>
          <w:sz w:val="20"/>
          <w:szCs w:val="20"/>
          <w:u w:val="single"/>
        </w:rPr>
        <w:t>Mezi klíčové funkce patří funkce stanovení polohy.</w:t>
      </w:r>
    </w:p>
    <w:p>
      <w:pPr>
        <w:pStyle w:val="Standard"/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Funkce stanovení polohy je užívána k určení polohy vozidla, například prostřednictvím zeměpisné šířky a délky prvku sítě pozemních komunikací a pro přiřazení na mapu. Přiřazení na mapu je metoda určování změny polohy navigačního systému v síti pozemních komunikací, založená na znalosti předcházející polohy navigačního systému a na datech o pohybu navigačního systému z externích vstupů. Tímto způsobem jsou upřesněny  geo-lokalizace na pozemních komunikacích.</w:t>
      </w:r>
    </w:p>
    <w:p>
      <w:pPr>
        <w:pStyle w:val="Standard"/>
        <w:rPr>
          <w:color w:val="000000"/>
          <w:kern w:val="0"/>
          <w:sz w:val="20"/>
          <w:szCs w:val="20"/>
          <w:u w:val="single"/>
        </w:rPr>
      </w:pPr>
      <w:r>
        <w:rPr>
          <w:color w:val="000000"/>
          <w:kern w:val="0"/>
          <w:sz w:val="20"/>
          <w:szCs w:val="20"/>
          <w:u w:val="single"/>
        </w:rPr>
        <w:t>Pro účely stanovení polohy by měly být poskytnuty následující funkce (nejedná se o úplný výčet):</w:t>
      </w:r>
    </w:p>
    <w:p>
      <w:pPr>
        <w:pStyle w:val="Standard"/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- R-25. Jednotná množina souřadnic pro aplikačně specifikovaný geoprvek Bod z tématu Pozemní komunikace a trajekty;</w:t>
      </w:r>
    </w:p>
    <w:p>
      <w:pPr>
        <w:pStyle w:val="Standard"/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- R-26. Množina hran, uzlů a/nebo mezilehlých bodů pro aplikačně specifikovaný geoprvek, nebo množina propojených geoprvků z tématu Pozemní komunikace a trajekty;</w:t>
      </w:r>
    </w:p>
    <w:p>
      <w:pPr>
        <w:pStyle w:val="Standard"/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- R-27. Množina topologicky propojených geoprvků z tématu Pozemní komunikace a trajekty propojených s aplikačně specifikovaným geoprvkem z tématu Pozemní komunikace a trajekty.</w:t>
      </w:r>
    </w:p>
    <w:p>
      <w:pPr>
        <w:pStyle w:val="Standard"/>
        <w:rPr>
          <w:b/>
          <w:color w:val="000000"/>
          <w:kern w:val="0"/>
          <w:sz w:val="20"/>
          <w:szCs w:val="20"/>
        </w:rPr>
      </w:pPr>
      <w:r>
        <w:rPr>
          <w:b/>
          <w:color w:val="000000"/>
          <w:kern w:val="0"/>
          <w:sz w:val="20"/>
          <w:szCs w:val="20"/>
        </w:rPr>
        <w:t>6.3.5 Funkce navádění na trase</w:t>
      </w:r>
    </w:p>
    <w:p>
      <w:pPr>
        <w:pStyle w:val="Standard"/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Jedná se o významnou funkci, která se využívá k podrobnému generování instrukcí k následování trasy. Tyto instrukce mohou zahrnovat orientaci kompasem, vzdálenost, názvy pozemních komunikací, texty dopravních značek, orientační body a statické nebo pohyblivé obrázky. Navádění může být realizováno textem, hlasem či grafickými výstupy.</w:t>
      </w:r>
    </w:p>
    <w:p>
      <w:pPr>
        <w:pStyle w:val="Standard"/>
        <w:rPr>
          <w:color w:val="000000"/>
          <w:kern w:val="0"/>
          <w:sz w:val="20"/>
          <w:szCs w:val="20"/>
          <w:u w:val="single"/>
        </w:rPr>
      </w:pPr>
      <w:r>
        <w:rPr>
          <w:color w:val="000000"/>
          <w:kern w:val="0"/>
          <w:sz w:val="20"/>
          <w:szCs w:val="20"/>
          <w:u w:val="single"/>
        </w:rPr>
        <w:t>Navádění na trase poskytuje následující metody přístupu k datům (nejedná se o úplný výčet):</w:t>
      </w:r>
    </w:p>
    <w:p>
      <w:pPr>
        <w:pStyle w:val="Standard"/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- R-77. Prostřednictvím relevantních geoprvků a relačních vztahů vztažených k dopravním prvkům specifikovaných aplikací, nebo množiny dopravních prvků, jako jsou: prvek křižovatky, informace na dopravních ukazatelích, okolní podmínky a orientační body v blízkosti dopravního prvku;</w:t>
      </w:r>
    </w:p>
    <w:p>
      <w:pPr>
        <w:pStyle w:val="Standard"/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- R-78. Pomocí naváděcích atributů dopravního prvku specifikovaného aplikací, nebo množinou těchto prvků, které jsou: názvy pozemních komunikací, vzdálenost, směr dopravního proudu a druh pozemní komunikace;</w:t>
      </w:r>
    </w:p>
    <w:p>
      <w:pPr>
        <w:pStyle w:val="Standard"/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- R-79. Pomocí vymezení, zda je aplikačně specifikované křížení částí křižovatky nebo celou křižovatkou;</w:t>
      </w:r>
    </w:p>
    <w:p>
      <w:pPr>
        <w:pStyle w:val="Standard"/>
        <w:keepNext w:val="true"/>
        <w:keepLines/>
        <w:widowControl w:val="false"/>
        <w:spacing w:before="240" w:after="180"/>
        <w:ind w:hanging="432" w:start="432" w:end="0"/>
        <w:rPr>
          <w:b/>
          <w:sz w:val="24"/>
          <w:szCs w:val="24"/>
        </w:rPr>
      </w:pPr>
      <w:r>
        <w:rPr>
          <w:b/>
          <w:sz w:val="24"/>
          <w:szCs w:val="24"/>
        </w:rPr>
        <w:t>7 Logický datový model</w:t>
      </w:r>
    </w:p>
    <w:p>
      <w:pPr>
        <w:pStyle w:val="Standard"/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Přehledový model zahrnuje statická mapová data pro ITS služby a vztah mezi mapovými daty a dynamickými externími informacemi pro ITS systémy. Přehledový model znázorněný na obr. 1 vyjadřuje vztah mezi následujícími bloky: dopravní blok, kartografický blok, blok přiřazení adresy, blok služeb a POI, blok dynamických informací.</w:t>
      </w:r>
    </w:p>
    <w:p>
      <w:pPr>
        <w:pStyle w:val="Standard"/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</w:r>
    </w:p>
    <w:p>
      <w:pPr>
        <w:pStyle w:val="Standard"/>
        <w:ind w:firstLine="720" w:start="720" w:end="0"/>
        <w:rPr>
          <w:rFonts w:ascii="Calibri" w:hAnsi="Calibri" w:cs="Calibri"/>
        </w:rPr>
      </w:pPr>
      <w:r>
        <w:rPr/>
        <w:drawing>
          <wp:inline distT="0" distB="0" distL="0" distR="0">
            <wp:extent cx="4735830" cy="242316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4" t="-8" r="-4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2423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120" w:after="0"/>
        <w:ind w:firstLine="720" w:end="0"/>
        <w:jc w:val="center"/>
        <w:rPr/>
      </w:pPr>
      <w:r>
        <w:rPr>
          <w:b/>
        </w:rPr>
        <w:t>Obrázek 1 – Přehledový model (obr. 1 normy)</w:t>
      </w:r>
    </w:p>
    <w:p>
      <w:pPr>
        <w:pStyle w:val="Normal"/>
        <w:keepNext w:val="true"/>
        <w:keepLines/>
        <w:spacing w:before="240" w:after="0"/>
        <w:ind w:hanging="576" w:start="576" w:end="0"/>
        <w:rPr>
          <w:b/>
        </w:rPr>
      </w:pPr>
      <w:r>
        <w:rPr>
          <w:b/>
        </w:rPr>
        <w:t>Kartografický blok</w:t>
      </w:r>
    </w:p>
    <w:p>
      <w:pPr>
        <w:pStyle w:val="Textnormy"/>
        <w:rPr/>
      </w:pPr>
      <w:r>
        <w:rPr/>
        <w:t>Kartografický blok je určen zejména pro zobrazení mapy. V kartografickém bloku je proměnlivý počet datových úrovní a relačních vztahů mezi jednotlivými úrovněmi. Kartografický blok se skládá z částí reprezentující pozadí a grafický text. Grafický text, jako například názvy mapových geoprvků, je jedním z atributů kartografických dat. Nicméně text pro kartografická data je nezávislý na datech pozadí.</w:t>
      </w:r>
    </w:p>
    <w:p>
      <w:pPr>
        <w:pStyle w:val="Normal"/>
        <w:keepNext w:val="true"/>
        <w:keepLines/>
        <w:spacing w:before="240" w:after="0"/>
        <w:ind w:hanging="576" w:start="576" w:end="0"/>
        <w:rPr>
          <w:b/>
        </w:rPr>
      </w:pPr>
      <w:r>
        <w:rPr>
          <w:b/>
        </w:rPr>
        <w:t>Dopravní blok</w:t>
      </w:r>
    </w:p>
    <w:p>
      <w:pPr>
        <w:pStyle w:val="Textnormy"/>
        <w:rPr/>
      </w:pPr>
      <w:r>
        <w:rPr/>
        <w:t>Dopravní balík definuje síťová data pro kooperativními ITS služby podporované LDM, službou multi-modální podpory dopravy, vozidlovou navigací, službami veřejné dopravy, navigací pro cyklisty a chodce.</w:t>
      </w:r>
    </w:p>
    <w:p>
      <w:pPr>
        <w:pStyle w:val="Textnormy"/>
        <w:rPr/>
      </w:pPr>
      <w:r>
        <w:rPr/>
        <w:t>Dopravní blok se skládá z následujících pěti pod-bloků: sítě dopravních zón, sítě pozemních komunikací, sítě veřejné dopravy, sítě cyklistických cest a sítě cest pro pěší.</w:t>
      </w:r>
    </w:p>
    <w:p>
      <w:pPr>
        <w:pStyle w:val="Obrzek"/>
        <w:rPr/>
      </w:pPr>
      <w:r>
        <w:rPr/>
        <w:drawing>
          <wp:inline distT="0" distB="0" distL="0" distR="0">
            <wp:extent cx="3364230" cy="144653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7" t="-16" r="-7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144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adpisTabObr"/>
        <w:rPr/>
      </w:pPr>
      <w:r>
        <w:rPr/>
        <w:t>Obrázek 2 – Ilustruje kartografický blok (obr. 14 normy)</w:t>
      </w:r>
    </w:p>
    <w:p>
      <w:pPr>
        <w:pStyle w:val="Normal"/>
        <w:keepNext w:val="true"/>
        <w:keepLines/>
        <w:spacing w:before="240" w:after="0"/>
        <w:ind w:hanging="576" w:start="576" w:end="0"/>
        <w:rPr>
          <w:b/>
        </w:rPr>
      </w:pPr>
      <w:r>
        <w:rPr>
          <w:b/>
        </w:rPr>
        <w:t>Blok služeb a POI</w:t>
      </w:r>
    </w:p>
    <w:p>
      <w:pPr>
        <w:pStyle w:val="Textnormy"/>
        <w:rPr/>
      </w:pPr>
      <w:r>
        <w:rPr/>
        <w:t>Tento blok se skládá z entity služby a entity referenčního bodu POI. Entita služby zahrnuje POI data. Definice entity služby je popsaná v ISO/TS 20452.</w:t>
      </w:r>
    </w:p>
    <w:p>
      <w:pPr>
        <w:pStyle w:val="Normal"/>
        <w:keepNext w:val="true"/>
        <w:keepLines/>
        <w:spacing w:before="240" w:after="0"/>
        <w:ind w:hanging="576" w:start="576" w:end="0"/>
        <w:rPr>
          <w:b/>
        </w:rPr>
      </w:pPr>
      <w:r>
        <w:rPr>
          <w:b/>
        </w:rPr>
        <w:t>Blok přiřazení adresy</w:t>
      </w:r>
    </w:p>
    <w:p>
      <w:pPr>
        <w:pStyle w:val="Textnormy"/>
        <w:rPr/>
      </w:pPr>
      <w:r>
        <w:rPr/>
        <w:t>V ISO/TS 20452 je blok přiřazení adresy složen z místa, názvu navigačního geoprvku, úseku pozemní komunikace, křižovatky, propojení a poštovního směrovacího čísla. Nicméně blok přiřazení adresy je v této mezinárodní normě složen pouze z místa a referenčního bodu. Místo reprezentuje pojmenovanou oblast, která může být použita pro přiřazení adresy.</w:t>
      </w:r>
    </w:p>
    <w:p>
      <w:pPr>
        <w:pStyle w:val="Normal"/>
        <w:keepNext w:val="true"/>
        <w:keepLines/>
        <w:spacing w:before="240" w:after="0"/>
        <w:ind w:hanging="576" w:start="576" w:end="0"/>
        <w:rPr>
          <w:b/>
        </w:rPr>
      </w:pPr>
      <w:r>
        <w:rPr>
          <w:b/>
        </w:rPr>
        <w:t>Blok dynamických informací</w:t>
      </w:r>
    </w:p>
    <w:p>
      <w:pPr>
        <w:pStyle w:val="Textnormy"/>
        <w:rPr/>
      </w:pPr>
      <w:r>
        <w:rPr/>
        <w:t>Dynamické informace, které mohou být poskytnuty externě v součinnosti s informacemi o poloze, jsou vztaženy k mapovým datům a jsou využívány k poskytování informací o dopravních podmínkách v reálném čase, například dopravní informace, informace o počasí a cestovní informace. Dynamické informace mohou být využity k rozšíření výpočtu trasy, pro podporu řízení a pro kooperativní ITS služby.</w:t>
      </w:r>
    </w:p>
    <w:p>
      <w:pPr>
        <w:pStyle w:val="Textnormy"/>
        <w:rPr/>
      </w:pPr>
      <w:r>
        <w:rPr/>
        <w:t>Externí dynamické informace pro ITS systémy jsou spojeny s polohou oblasti, liniovým stanovením polohy, například částí pozemní komunikace, nebo bodovým stanovením polohy, například polohou křižovatky nacházející se na pozemní komunikaci v rámci mapového podkladu. Množina dynamických informací se může skládat z entity polohy dynamické informace, dynamické dopravní informace (např. RDS-TMC, VICS), aktuální dopravní informace (např. zpoždění vlaku) a informace o počasí (např. déšť, záplava, sněžení, blizard, nebo mráz).</w:t>
      </w:r>
    </w:p>
    <w:p>
      <w:pPr>
        <w:pStyle w:val="Heading1"/>
        <w:ind w:hanging="0" w:start="0"/>
        <w:rPr/>
      </w:pPr>
      <w:r>
        <w:rPr/>
        <w:t xml:space="preserve">Příloha A (normativní) – Abstraktní testovací sada </w:t>
      </w:r>
    </w:p>
    <w:p>
      <w:pPr>
        <w:pStyle w:val="Textnormy"/>
        <w:rPr/>
      </w:pPr>
      <w:r>
        <w:rPr/>
        <w:t>Tato abstraktní testovací sada se týká souhrnných dat odvozených z této normy. Předmětem metody testování je posoudit shodu mezi toto normou a testovanou datovou strukturou, zda pokrývá všechny datové prvky popsané touto normou.</w:t>
      </w:r>
    </w:p>
    <w:p>
      <w:pPr>
        <w:pStyle w:val="Heading1"/>
        <w:ind w:hanging="0" w:start="0"/>
        <w:rPr/>
      </w:pPr>
      <w:r>
        <w:rPr/>
        <w:t xml:space="preserve">Příloha B (informativní) – Popis výrazových prvků UML </w:t>
      </w:r>
    </w:p>
    <w:p>
      <w:pPr>
        <w:pStyle w:val="Textnormy"/>
        <w:rPr/>
      </w:pPr>
      <w:r>
        <w:rPr/>
        <w:t>Tato norma využívá nově vyvinutou metodologii k vyjádření strukturovaných souvislostí, nazývanou UML. V příloze je uveden krátký popis výrazových UML prvků diagramu, které zajišťují, aby nedocházelo k nesprávnému výkladu, zaviněnému postupným vývojem UML1.4.</w:t>
      </w:r>
    </w:p>
    <w:p>
      <w:pPr>
        <w:pStyle w:val="Heading1"/>
        <w:ind w:hanging="0" w:start="0"/>
        <w:rPr/>
      </w:pPr>
      <w:r>
        <w:rPr/>
        <w:t xml:space="preserve">Příloha C (normativní) – Základní množina definic aplikací </w:t>
      </w:r>
    </w:p>
    <w:p>
      <w:pPr>
        <w:pStyle w:val="Textnormy"/>
        <w:rPr/>
      </w:pPr>
      <w:r>
        <w:rPr/>
        <w:t>Tato příloha normy popisuje formou tabulky základní množinu aplikací stanovenou v souladu s ETSI TC ITS TR 102638 a ETSI TC ITS TR 102863.</w:t>
      </w:r>
    </w:p>
    <w:p>
      <w:pPr>
        <w:pStyle w:val="Heading1"/>
        <w:ind w:hanging="0" w:start="0"/>
        <w:rPr/>
      </w:pPr>
      <w:r>
        <w:rPr/>
        <w:t xml:space="preserve">Příloha D (informativní) – Přehled příkladů služeb podpory řidiče, japonské příklady </w:t>
      </w:r>
    </w:p>
    <w:p>
      <w:pPr>
        <w:pStyle w:val="Textnormy"/>
        <w:rPr/>
      </w:pPr>
      <w:r>
        <w:rPr/>
        <w:t>Tato příloha, na základě zprávy ITS Japan report 2011, pomáhá seznámit čtenáře s příklady ITS systémů v Japonsku. Příloha je členěna do 4 částí: služby varování založené na informacích z pozemní komunikace, (informace o dopravních omezeních, informace o dopravním značení, dopravní informace, informace o podmínkách na povrchu pozemní komunikace, zvláštní zóny), služby varování založené na informacích o situaci v okolí vozidla (pozemní komunikace, křižovatky), ovládání vozidla, podpora eko-řizení (poskytování zpráv k eko-řízení, poskytování informací k multimodální dopravě).</w:t>
      </w:r>
    </w:p>
    <w:p>
      <w:pPr>
        <w:pStyle w:val="Obrzek"/>
        <w:rPr/>
      </w:pPr>
      <w:r>
        <w:rPr/>
        <w:drawing>
          <wp:inline distT="0" distB="0" distL="0" distR="0">
            <wp:extent cx="5100955" cy="296735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3" t="-5" r="-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955" cy="2967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adpisTabObr"/>
        <w:rPr/>
      </w:pPr>
      <w:r>
        <w:rPr/>
        <w:t xml:space="preserve">Obrázek 3 – Situace okolo vozidla (obr. D. 12 normy) </w:t>
      </w:r>
    </w:p>
    <w:p>
      <w:pPr>
        <w:pStyle w:val="Standard"/>
        <w:rPr>
          <w:b/>
          <w:color w:val="000000"/>
          <w:kern w:val="0"/>
          <w:sz w:val="20"/>
          <w:szCs w:val="20"/>
        </w:rPr>
      </w:pPr>
      <w:r>
        <w:rPr>
          <w:b/>
          <w:color w:val="000000"/>
          <w:kern w:val="0"/>
          <w:sz w:val="20"/>
          <w:szCs w:val="20"/>
        </w:rPr>
        <w:t xml:space="preserve">Legenda: </w:t>
      </w:r>
    </w:p>
    <w:p>
      <w:pPr>
        <w:pStyle w:val="Standard"/>
        <w:rPr>
          <w:color w:val="000000"/>
          <w:kern w:val="0"/>
          <w:sz w:val="20"/>
          <w:szCs w:val="20"/>
        </w:rPr>
      </w:pPr>
      <w:r>
        <w:rPr>
          <w:color w:val="000000"/>
          <w:kern w:val="0"/>
          <w:sz w:val="20"/>
          <w:szCs w:val="20"/>
        </w:rPr>
        <w:t>TIWS – varovný systém překážek dopravy, FVCWS – varovný systém před srážkou s vpředu jedoucím vozidlem, LCDAS – varovný systém podpory sledování bočních překážek, ACC – adaptivní tempomat, LSF – podpůrný systém pomalé jízdy v koloně, FVCMS – vozidlový systém pro zmírnění kolize, LDWS – varovný systém před neúmyslným vyjetím z jízdního pruhu, LKAS – asistenční systém pro udržení vozidla v jízdním pruhu, FSRA – adaptivní tempomat pro všechny rychlostní režimy</w:t>
      </w:r>
    </w:p>
    <w:p>
      <w:pPr>
        <w:pStyle w:val="NadpisTabObr"/>
        <w:rPr/>
      </w:pPr>
      <w:r>
        <w:rPr>
          <w:color w:val="000000"/>
          <w:kern w:val="0"/>
          <w:sz w:val="20"/>
          <w:szCs w:val="20"/>
        </w:rPr>
      </w:r>
    </w:p>
    <w:p>
      <w:pPr>
        <w:pStyle w:val="NadpisTabObr"/>
        <w:rPr/>
      </w:pPr>
      <w:r>
        <w:rPr/>
        <w:t>Tabulka 1 – Informace o pozemní komunikaci (tab. D.1 normy)</w:t>
      </w:r>
    </w:p>
    <w:tbl>
      <w:tblPr>
        <w:tblW w:w="949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17"/>
        <w:gridCol w:w="2452"/>
        <w:gridCol w:w="2694"/>
        <w:gridCol w:w="2835"/>
      </w:tblGrid>
      <w:tr>
        <w:trPr/>
        <w:tc>
          <w:tcPr>
            <w:tcW w:w="151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Texttabulky"/>
              <w:spacing w:before="60" w:after="60"/>
              <w:rPr>
                <w:b/>
              </w:rPr>
            </w:pPr>
            <w:r>
              <w:rPr>
                <w:b/>
              </w:rPr>
              <w:t>Cíl</w:t>
            </w:r>
          </w:p>
        </w:tc>
        <w:tc>
          <w:tcPr>
            <w:tcW w:w="24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Texttabulky"/>
              <w:spacing w:before="60" w:after="60"/>
              <w:rPr>
                <w:b/>
              </w:rPr>
            </w:pPr>
            <w:r>
              <w:rPr>
                <w:b/>
              </w:rPr>
              <w:t>Požadované informace o pozemní komunikaci</w:t>
            </w:r>
          </w:p>
        </w:tc>
        <w:tc>
          <w:tcPr>
            <w:tcW w:w="2694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Texttabulky"/>
              <w:spacing w:before="60" w:after="60"/>
              <w:rPr>
                <w:b/>
              </w:rPr>
            </w:pPr>
            <w:r>
              <w:rPr>
                <w:b/>
              </w:rPr>
              <w:t>Řídicí prvek</w:t>
            </w:r>
          </w:p>
        </w:tc>
        <w:tc>
          <w:tcPr>
            <w:tcW w:w="2835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</w:tcPr>
          <w:p>
            <w:pPr>
              <w:pStyle w:val="Texttabulky"/>
              <w:spacing w:before="60" w:after="60"/>
              <w:rPr>
                <w:b/>
              </w:rPr>
            </w:pPr>
            <w:r>
              <w:rPr>
                <w:b/>
              </w:rPr>
              <w:t>Poznámka</w:t>
            </w:r>
          </w:p>
        </w:tc>
      </w:tr>
      <w:tr>
        <w:trPr>
          <w:trHeight w:val="578" w:hRule="atLeast"/>
        </w:trPr>
        <w:tc>
          <w:tcPr>
            <w:tcW w:w="151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1. rychlostní limit</w:t>
            </w:r>
          </w:p>
        </w:tc>
        <w:tc>
          <w:tcPr>
            <w:tcW w:w="24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informace o rychlostních omezeních</w:t>
            </w:r>
          </w:p>
        </w:tc>
        <w:tc>
          <w:tcPr>
            <w:tcW w:w="2694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úřad pro veřejnou bezpečnost každé prefektury</w:t>
            </w:r>
          </w:p>
        </w:tc>
        <w:tc>
          <w:tcPr>
            <w:tcW w:w="2835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</w:tr>
      <w:tr>
        <w:trPr>
          <w:trHeight w:val="545" w:hRule="atLeast"/>
        </w:trPr>
        <w:tc>
          <w:tcPr>
            <w:tcW w:w="1517" w:type="dxa"/>
            <w:vMerge w:val="restart"/>
            <w:tcBorders>
              <w:top w:val="single" w:sz="4" w:space="0" w:color="000001"/>
              <w:start w:val="single" w:sz="4" w:space="0" w:color="000001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2. bezpečná rychlost</w:t>
            </w:r>
          </w:p>
        </w:tc>
        <w:tc>
          <w:tcPr>
            <w:tcW w:w="24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zakřivení a sklon</w:t>
            </w:r>
          </w:p>
        </w:tc>
        <w:tc>
          <w:tcPr>
            <w:tcW w:w="2694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správce pozemní komunikace</w:t>
            </w:r>
          </w:p>
        </w:tc>
        <w:tc>
          <w:tcPr>
            <w:tcW w:w="2835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</w:tr>
      <w:tr>
        <w:trPr>
          <w:trHeight w:val="541" w:hRule="atLeast"/>
        </w:trPr>
        <w:tc>
          <w:tcPr>
            <w:tcW w:w="1517" w:type="dxa"/>
            <w:vMerge w:val="continue"/>
            <w:tcBorders>
              <w:top w:val="single" w:sz="4" w:space="0" w:color="000001"/>
              <w:start w:val="single" w:sz="4" w:space="0" w:color="000001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24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informace o nebezpečné dopravní oblasti</w:t>
            </w:r>
          </w:p>
        </w:tc>
        <w:tc>
          <w:tcPr>
            <w:tcW w:w="2694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správce pozemní komunikace, řidič</w:t>
            </w:r>
          </w:p>
        </w:tc>
        <w:tc>
          <w:tcPr>
            <w:tcW w:w="2835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informace od řidičů mohou sloužit jako zdroj</w:t>
            </w:r>
          </w:p>
        </w:tc>
      </w:tr>
      <w:tr>
        <w:trPr>
          <w:trHeight w:val="715" w:hRule="atLeast"/>
        </w:trPr>
        <w:tc>
          <w:tcPr>
            <w:tcW w:w="1517" w:type="dxa"/>
            <w:vMerge w:val="continue"/>
            <w:tcBorders>
              <w:top w:val="single" w:sz="4" w:space="0" w:color="000001"/>
              <w:start w:val="single" w:sz="4" w:space="0" w:color="000001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24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informace o povrchu pozemní komunikace</w:t>
            </w:r>
          </w:p>
        </w:tc>
        <w:tc>
          <w:tcPr>
            <w:tcW w:w="2694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správce pozemní komunikace, řidič</w:t>
            </w:r>
          </w:p>
        </w:tc>
        <w:tc>
          <w:tcPr>
            <w:tcW w:w="2835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informace o skluzu kol detekovaného prostřednictvím systému ESP, může být rovněž informací v reálném čase</w:t>
            </w:r>
          </w:p>
        </w:tc>
      </w:tr>
      <w:tr>
        <w:trPr>
          <w:trHeight w:val="495" w:hRule="atLeast"/>
        </w:trPr>
        <w:tc>
          <w:tcPr>
            <w:tcW w:w="1517" w:type="dxa"/>
            <w:vMerge w:val="restart"/>
            <w:tcBorders>
              <w:top w:val="single" w:sz="4" w:space="0" w:color="000001"/>
              <w:start w:val="single" w:sz="4" w:space="0" w:color="000001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3. snížení kongesce</w:t>
            </w:r>
          </w:p>
        </w:tc>
        <w:tc>
          <w:tcPr>
            <w:tcW w:w="24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místa poklesu kongesce</w:t>
            </w:r>
          </w:p>
        </w:tc>
        <w:tc>
          <w:tcPr>
            <w:tcW w:w="2694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správce pozemní komunikace</w:t>
            </w:r>
          </w:p>
        </w:tc>
        <w:tc>
          <w:tcPr>
            <w:tcW w:w="2835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</w:tr>
      <w:tr>
        <w:trPr>
          <w:trHeight w:val="491" w:hRule="atLeast"/>
        </w:trPr>
        <w:tc>
          <w:tcPr>
            <w:tcW w:w="1517" w:type="dxa"/>
            <w:vMerge w:val="continue"/>
            <w:tcBorders>
              <w:top w:val="single" w:sz="4" w:space="0" w:color="000001"/>
              <w:start w:val="single" w:sz="4" w:space="0" w:color="000001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  <w:tc>
          <w:tcPr>
            <w:tcW w:w="2452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informace o rychlostních omezeních</w:t>
            </w:r>
          </w:p>
        </w:tc>
        <w:tc>
          <w:tcPr>
            <w:tcW w:w="2694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úřad pro veřejnou bezpečnost každé prefektury</w:t>
            </w:r>
          </w:p>
        </w:tc>
        <w:tc>
          <w:tcPr>
            <w:tcW w:w="2835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</w:tcPr>
          <w:p>
            <w:pPr>
              <w:pStyle w:val="Texttabulky"/>
              <w:snapToGrid w:val="false"/>
              <w:spacing w:before="60" w:after="60"/>
              <w:rPr/>
            </w:pPr>
            <w:r>
              <w:rPr/>
            </w:r>
          </w:p>
        </w:tc>
      </w:tr>
      <w:tr>
        <w:trPr>
          <w:trHeight w:val="474" w:hRule="atLeast"/>
        </w:trPr>
        <w:tc>
          <w:tcPr>
            <w:tcW w:w="9498" w:type="dxa"/>
            <w:gridSpan w:val="4"/>
            <w:tcBorders>
              <w:top w:val="single" w:sz="4" w:space="0" w:color="000001"/>
              <w:start w:val="single" w:sz="4" w:space="0" w:color="000001"/>
              <w:bottom w:val="single" w:sz="4" w:space="0" w:color="000001"/>
              <w:end w:val="single" w:sz="4" w:space="0" w:color="000001"/>
            </w:tcBorders>
          </w:tcPr>
          <w:p>
            <w:pPr>
              <w:pStyle w:val="Texttabulky"/>
              <w:spacing w:before="60" w:after="60"/>
              <w:rPr/>
            </w:pPr>
            <w:r>
              <w:rPr/>
              <w:t>Přínosy služby: snížení dopravních nehod z důvodu nepřiměřené rychlosti</w:t>
            </w:r>
          </w:p>
        </w:tc>
      </w:tr>
    </w:tbl>
    <w:p>
      <w:pPr>
        <w:pStyle w:val="Standard"/>
        <w:keepNext w:val="true"/>
        <w:keepLines/>
        <w:widowControl w:val="false"/>
        <w:spacing w:before="240" w:after="180"/>
        <w:ind w:hanging="432" w:start="432" w:end="0"/>
        <w:rPr>
          <w:b/>
        </w:rPr>
      </w:pPr>
      <w:r>
        <w:rPr>
          <w:b/>
        </w:rPr>
        <w:t xml:space="preserve">Příloha E (informativní) – Vztah mezi základní množinou aplikací a službami podpory řízení, japonský příklad </w:t>
      </w:r>
    </w:p>
    <w:p>
      <w:pPr>
        <w:pStyle w:val="Normal"/>
        <w:spacing w:before="0" w:after="240"/>
        <w:rPr/>
      </w:pPr>
      <w:r>
        <w:rPr/>
        <w:t>Tato příloha přináší přehled členění základní množiny aplikací v rozlišení na aplikační třídy, aplikace, případy užití a služby podpory ovládání vozidla.</w:t>
      </w:r>
    </w:p>
    <w:p>
      <w:pPr>
        <w:pStyle w:val="Standard"/>
        <w:keepNext w:val="true"/>
        <w:keepLines/>
        <w:widowControl w:val="false"/>
        <w:spacing w:before="240" w:after="180"/>
        <w:ind w:hanging="432" w:start="432" w:end="0"/>
        <w:rPr>
          <w:b/>
        </w:rPr>
      </w:pPr>
      <w:r>
        <w:rPr>
          <w:b/>
        </w:rPr>
        <w:t xml:space="preserve">Příloha F (informativní) – Případ užití služby multimodální podpora dopravy, japonský příklad </w:t>
      </w:r>
    </w:p>
    <w:p>
      <w:pPr>
        <w:pStyle w:val="Normal"/>
        <w:spacing w:before="0" w:after="240"/>
        <w:rPr/>
      </w:pPr>
      <w:r>
        <w:rPr/>
        <w:t>Tato příloha přináší jak grafické znázornění případu užití, tak podrobný přehled případu užití členěného na položky, popis a poznámky včetně popisu hlavních funkcí procesu multimodální podporu dopravy.</w:t>
      </w:r>
    </w:p>
    <w:sectPr>
      <w:footerReference w:type="even" r:id="rId28"/>
      <w:footerReference w:type="default" r:id="rId29"/>
      <w:type w:val="nextPage"/>
      <w:pgSz w:w="11906" w:h="16838"/>
      <w:pgMar w:left="1021" w:right="964" w:gutter="0" w:header="0" w:top="1134" w:footer="340" w:bottom="113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OpenSymbol">
    <w:altName w:val="Arial Unicode MS"/>
    <w:charset w:val="00" w:characterSet="windows-1252"/>
    <w:family w:val="auto"/>
    <w:pitch w:val="default"/>
  </w:font>
  <w:font w:name="Tahoma">
    <w:charset w:val="ee" w:characterSet="windows-1250"/>
    <w:family w:val="swiss"/>
    <w:pitch w:val="variable"/>
  </w:font>
  <w:font w:name="Times New Roman">
    <w:charset w:val="ee" w:characterSet="windows-1250"/>
    <w:family w:val="roman"/>
    <w:pitch w:val="variable"/>
  </w:font>
  <w:font w:name="Calibri">
    <w:charset w:val="ee" w:characterSet="windows-125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ind w:firstLine="360" w:end="360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6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ind w:firstLine="360" w:end="360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926"/>
        </w:tabs>
        <w:ind w:start="926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643"/>
        </w:tabs>
        <w:ind w:start="643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492"/>
        </w:tabs>
        <w:ind w:start="1492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209"/>
        </w:tabs>
        <w:ind w:start="1209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–"/>
      <w:lvlJc w:val="start"/>
      <w:pPr>
        <w:tabs>
          <w:tab w:val="num" w:pos="360"/>
        </w:tabs>
        <w:ind w:start="283" w:hanging="283"/>
      </w:pPr>
      <w:rPr>
        <w:rFonts w:ascii="Arial" w:hAnsi="Arial" w:cs="Arial" w:hint="default"/>
      </w:rPr>
    </w:lvl>
  </w:abstractNum>
  <w:abstractNum w:abstractNumId="12">
    <w:lvl w:ilvl="0">
      <w:start w:val="1"/>
      <w:numFmt w:val="lowerLetter"/>
      <w:lvlText w:val="%1)"/>
      <w:lvlJc w:val="start"/>
      <w:pPr>
        <w:tabs>
          <w:tab w:val="num" w:pos="360"/>
        </w:tabs>
        <w:ind w:start="284" w:hanging="284"/>
      </w:pPr>
    </w:lvl>
  </w:abstractNum>
  <w:abstractNum w:abstractNumId="13">
    <w:lvl w:ilvl="0">
      <w:start w:val="1"/>
      <w:numFmt w:val="decimal"/>
      <w:lvlText w:val="[%1]"/>
      <w:lvlJc w:val="start"/>
      <w:pPr>
        <w:tabs>
          <w:tab w:val="num" w:pos="360"/>
        </w:tabs>
        <w:ind w:start="360" w:hanging="360"/>
      </w:p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283"/>
        </w:tabs>
        <w:ind w:start="283" w:hanging="283"/>
      </w:pPr>
    </w:lvl>
  </w:abstractNum>
  <w:abstractNum w:abstractNumId="15">
    <w:lvl w:ilvl="0">
      <w:start w:val="1"/>
      <w:numFmt w:val="decimal"/>
      <w:lvlText w:val="%1)"/>
      <w:lvlJc w:val="start"/>
      <w:pPr>
        <w:tabs>
          <w:tab w:val="num" w:pos="360"/>
        </w:tabs>
        <w:ind w:start="284" w:hanging="284"/>
      </w:pPr>
    </w:lvl>
  </w:abstractNum>
  <w:abstractNum w:abstractNumId="16">
    <w:lvl w:ilvl="0">
      <w:start w:val="1"/>
      <w:numFmt w:val="lowerLetter"/>
      <w:lvlText w:val="%1)"/>
      <w:lvlJc w:val="start"/>
      <w:pPr>
        <w:tabs>
          <w:tab w:val="num" w:pos="360"/>
        </w:tabs>
        <w:ind w:start="284" w:hanging="284"/>
      </w:pPr>
    </w:lvl>
  </w:abstractNum>
  <w:abstractNum w:abstractNumId="17">
    <w:lvl w:ilvl="0"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2">
      <w:start w:val="0"/>
      <w:numFmt w:val="bullet"/>
      <w:lvlText w:val="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"/>
      <w:lvlJc w:val="start"/>
      <w:pPr>
        <w:tabs>
          <w:tab w:val="num" w:pos="0"/>
        </w:tabs>
        <w:ind w:start="2160" w:hanging="36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6">
      <w:start w:val="0"/>
      <w:numFmt w:val="bullet"/>
      <w:lvlText w:val="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8">
      <w:start w:val="0"/>
      <w:numFmt w:val="bullet"/>
      <w:lvlText w:val="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</w:abstractNum>
  <w:abstractNum w:abstractNumId="18">
    <w:lvl w:ilvl="0">
      <w:start w:val="1"/>
      <w:numFmt w:val="lowerLetter"/>
      <w:lvlText w:val="%1)"/>
      <w:lvlJc w:val="start"/>
      <w:pPr>
        <w:tabs>
          <w:tab w:val="num" w:pos="283"/>
        </w:tabs>
        <w:ind w:start="283" w:hanging="283"/>
      </w:pPr>
    </w:lvl>
  </w:abstractNum>
  <w:abstractNum w:abstractNumId="19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mirrorMargins/>
  <w:defaultTabStop w:val="709"/>
  <w:autoHyphenation w:val="true"/>
  <w:hyphenationZone w:val="0"/>
  <w:evenAndOddHeaders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Heading1">
    <w:name w:val="heading 1"/>
    <w:basedOn w:val="Nadpiskapitoly"/>
    <w:next w:val="Textnormy"/>
    <w:qFormat/>
    <w:pPr>
      <w:numPr>
        <w:ilvl w:val="0"/>
        <w:numId w:val="1"/>
      </w:numPr>
      <w:spacing w:before="240" w:after="60"/>
      <w:outlineLvl w:val="0"/>
    </w:pPr>
    <w:rPr>
      <w:sz w:val="22"/>
    </w:rPr>
  </w:style>
  <w:style w:type="paragraph" w:styleId="Heading2">
    <w:name w:val="heading 2"/>
    <w:basedOn w:val="Nadpislnku"/>
    <w:next w:val="Textnormy"/>
    <w:qFormat/>
    <w:pPr>
      <w:numPr>
        <w:ilvl w:val="1"/>
        <w:numId w:val="1"/>
      </w:numPr>
      <w:outlineLvl w:val="1"/>
    </w:pPr>
    <w:rPr/>
  </w:style>
  <w:style w:type="paragraph" w:styleId="Heading3">
    <w:name w:val="heading 3"/>
    <w:basedOn w:val="Nadpislnku"/>
    <w:next w:val="Textnormy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Nadpislnku"/>
    <w:next w:val="Textnormy"/>
    <w:qFormat/>
    <w:pPr>
      <w:numPr>
        <w:ilvl w:val="3"/>
        <w:numId w:val="1"/>
      </w:numPr>
      <w:outlineLvl w:val="3"/>
    </w:pPr>
    <w:rPr/>
  </w:style>
  <w:style w:type="paragraph" w:styleId="Heading5">
    <w:name w:val="heading 5"/>
    <w:basedOn w:val="Nadpislnku"/>
    <w:next w:val="Textnormy"/>
    <w:qFormat/>
    <w:pPr>
      <w:numPr>
        <w:ilvl w:val="4"/>
        <w:numId w:val="1"/>
      </w:numPr>
      <w:outlineLvl w:val="4"/>
    </w:pPr>
    <w:rPr/>
  </w:style>
  <w:style w:type="paragraph" w:styleId="Heading6">
    <w:name w:val="heading 6"/>
    <w:basedOn w:val="Nadpislnku"/>
    <w:next w:val="Textnormy"/>
    <w:qFormat/>
    <w:pPr>
      <w:numPr>
        <w:ilvl w:val="5"/>
        <w:numId w:val="1"/>
      </w:numPr>
      <w:outlineLvl w:val="5"/>
    </w:pPr>
    <w:rPr/>
  </w:style>
  <w:style w:type="paragraph" w:styleId="Heading7">
    <w:name w:val="heading 7"/>
    <w:basedOn w:val="Nadpislnku"/>
    <w:next w:val="Textnormy"/>
    <w:qFormat/>
    <w:pPr>
      <w:numPr>
        <w:ilvl w:val="6"/>
        <w:numId w:val="1"/>
      </w:numPr>
      <w:outlineLvl w:val="6"/>
    </w:pPr>
    <w:rPr/>
  </w:style>
  <w:style w:type="paragraph" w:styleId="Heading8">
    <w:name w:val="heading 8"/>
    <w:basedOn w:val="Nadpislnku"/>
    <w:next w:val="Textnormy"/>
    <w:qFormat/>
    <w:pPr>
      <w:numPr>
        <w:ilvl w:val="7"/>
        <w:numId w:val="1"/>
      </w:numPr>
      <w:outlineLvl w:val="7"/>
    </w:pPr>
    <w:rPr/>
  </w:style>
  <w:style w:type="paragraph" w:styleId="Heading9">
    <w:name w:val="heading 9"/>
    <w:basedOn w:val="Nadpislnku"/>
    <w:next w:val="Textnormy"/>
    <w:qFormat/>
    <w:pPr>
      <w:numPr>
        <w:ilvl w:val="8"/>
        <w:numId w:val="1"/>
      </w:numPr>
      <w:outlineLvl w:val="8"/>
    </w:pPr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rFonts w:ascii="Arial" w:hAnsi="Arial" w:cs="Arial"/>
    </w:rPr>
  </w:style>
  <w:style w:type="character" w:styleId="WW8Num14z0">
    <w:name w:val="WW8Num14z0"/>
    <w:qFormat/>
    <w:rPr>
      <w:rFonts w:ascii="Arial" w:hAnsi="Arial" w:eastAsia="Arial" w:cs="Arial"/>
      <w:position w:val="0"/>
      <w:sz w:val="24"/>
      <w:vertAlign w:val="baseline"/>
    </w:rPr>
  </w:style>
  <w:style w:type="character" w:styleId="WW8Num15z0">
    <w:name w:val="WW8Num15z0"/>
    <w:qFormat/>
    <w:rPr>
      <w:rFonts w:ascii="Arial" w:hAnsi="Arial" w:eastAsia="Times New Roman" w:cs="Aria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6z0">
    <w:name w:val="WW8Num26z0"/>
    <w:qFormat/>
    <w:rPr/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u w:val="none"/>
    </w:rPr>
  </w:style>
  <w:style w:type="character" w:styleId="WW8Num31z0">
    <w:name w:val="WW8Num31z0"/>
    <w:qFormat/>
    <w:rPr>
      <w:rFonts w:ascii="Arial" w:hAnsi="Arial" w:eastAsia="Arial" w:cs="Arial"/>
      <w:position w:val="0"/>
      <w:sz w:val="20"/>
      <w:szCs w:val="20"/>
      <w:vertAlign w:val="baseline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3z0">
    <w:name w:val="WW8Num33z0"/>
    <w:qFormat/>
    <w:rPr>
      <w:rFonts w:ascii="OpenSymbol;Times New Roman" w:hAnsi="OpenSymbol;Times New Roman" w:eastAsia="OpenSymbol;Times New Roman" w:cs="OpenSymbol;Times New Roman"/>
    </w:rPr>
  </w:style>
  <w:style w:type="character" w:styleId="Standardnpsmoodstavce">
    <w:name w:val="Standardní písmo odstavce"/>
    <w:qFormat/>
    <w:rPr/>
  </w:style>
  <w:style w:type="character" w:styleId="PageNumber">
    <w:name w:val="page number"/>
    <w:rPr>
      <w:rFonts w:ascii="Arial" w:hAnsi="Arial" w:cs="Arial"/>
      <w:sz w:val="18"/>
    </w:rPr>
  </w:style>
  <w:style w:type="character" w:styleId="FootnoteCharacters">
    <w:name w:val="Footnote Characters"/>
    <w:qFormat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styleId="AkronymHTML">
    <w:name w:val="Akronym HTML"/>
    <w:basedOn w:val="Standardnpsmoodstavce"/>
    <w:qFormat/>
    <w:rPr/>
  </w:style>
  <w:style w:type="character" w:styleId="CittHTML">
    <w:name w:val="Citát HTML"/>
    <w:qFormat/>
    <w:rPr>
      <w:i/>
      <w:iCs/>
    </w:rPr>
  </w:style>
  <w:style w:type="character" w:styleId="LineNumber">
    <w:name w:val="line number"/>
    <w:basedOn w:val="Standardnpsmoodstavce"/>
    <w:rPr/>
  </w:style>
  <w:style w:type="character" w:styleId="DefiniceHTML">
    <w:name w:val="Definice HTML"/>
    <w:qFormat/>
    <w:rPr>
      <w:i/>
      <w:iCs/>
    </w:rPr>
  </w:style>
  <w:style w:type="character" w:styleId="KlvesniceHTML">
    <w:name w:val="Klávesnice HTML"/>
    <w:qFormat/>
    <w:rPr>
      <w:rFonts w:ascii="Courier New" w:hAnsi="Courier New" w:cs="Courier New"/>
      <w:sz w:val="20"/>
      <w:szCs w:val="20"/>
    </w:rPr>
  </w:style>
  <w:style w:type="character" w:styleId="KdHTML">
    <w:name w:val="Kód HTML"/>
    <w:qFormat/>
    <w:rPr>
      <w:rFonts w:ascii="Courier New" w:hAnsi="Courier New" w:cs="Courier New"/>
      <w:sz w:val="20"/>
      <w:szCs w:val="20"/>
    </w:rPr>
  </w:style>
  <w:style w:type="character" w:styleId="PromnnHTML">
    <w:name w:val="Proměnná HTML"/>
    <w:qFormat/>
    <w:rPr>
      <w:i/>
      <w:iCs/>
    </w:rPr>
  </w:style>
  <w:style w:type="character" w:styleId="PsacstrojHTML">
    <w:name w:val="Psací stroj HTML"/>
    <w:qFormat/>
    <w:rPr>
      <w:rFonts w:ascii="Courier New" w:hAnsi="Courier New" w:cs="Courier New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character" w:styleId="UkzkaHTML">
    <w:name w:val="Ukázka HTML"/>
    <w:qFormat/>
    <w:rPr>
      <w:rFonts w:ascii="Courier New" w:hAnsi="Courier New" w:cs="Courier New"/>
    </w:rPr>
  </w:style>
  <w:style w:type="character" w:styleId="Emphasis">
    <w:name w:val="Emphasis"/>
    <w:qFormat/>
    <w:rPr>
      <w:i/>
      <w:iCs/>
    </w:rPr>
  </w:style>
  <w:style w:type="character" w:styleId="TextnormyChar">
    <w:name w:val="Text normy Char"/>
    <w:qFormat/>
    <w:rPr>
      <w:rFonts w:ascii="Arial" w:hAnsi="Arial" w:cs="Arial"/>
      <w:lang w:val="cs-CZ" w:bidi="ar-SA"/>
    </w:rPr>
  </w:style>
  <w:style w:type="character" w:styleId="NadpislnkuChar">
    <w:name w:val="Nadpis článku Char"/>
    <w:qFormat/>
    <w:rPr>
      <w:rFonts w:ascii="Arial" w:hAnsi="Arial" w:cs="Arial"/>
      <w:b/>
      <w:lang w:val="cs-CZ" w:bidi="ar-SA"/>
    </w:rPr>
  </w:style>
  <w:style w:type="character" w:styleId="Nadpis2Char">
    <w:name w:val="Nadpis 2 Char"/>
    <w:basedOn w:val="NadpislnkuChar"/>
    <w:qFormat/>
    <w:rPr/>
  </w:style>
  <w:style w:type="character" w:styleId="TextnormyChar1">
    <w:name w:val="Text normy Char1"/>
    <w:qFormat/>
    <w:rPr>
      <w:rFonts w:ascii="Arial" w:hAnsi="Arial" w:cs="Arial"/>
      <w:lang w:val="cs-CZ" w:bidi="ar-SA"/>
    </w:rPr>
  </w:style>
  <w:style w:type="character" w:styleId="Odkaznakoment">
    <w:name w:val="Odkaz na komentář"/>
    <w:qFormat/>
    <w:rPr>
      <w:sz w:val="16"/>
      <w:szCs w:val="16"/>
    </w:rPr>
  </w:style>
  <w:style w:type="character" w:styleId="TextkomenteChar">
    <w:name w:val="Text komentáře Char"/>
    <w:qFormat/>
    <w:rPr>
      <w:rFonts w:ascii="Arial" w:hAnsi="Arial" w:cs="Arial"/>
    </w:rPr>
  </w:style>
  <w:style w:type="character" w:styleId="PedmtkomenteChar">
    <w:name w:val="Předmět komentáře Char"/>
    <w:qFormat/>
    <w:rPr>
      <w:rFonts w:ascii="Arial" w:hAnsi="Arial" w:cs="Arial"/>
      <w:b/>
      <w:bCs/>
    </w:rPr>
  </w:style>
  <w:style w:type="character" w:styleId="TextbublinyChar">
    <w:name w:val="Text bubliny Char"/>
    <w:qFormat/>
    <w:rPr>
      <w:rFonts w:ascii="Tahoma" w:hAnsi="Tahoma" w:cs="Tahoma"/>
      <w:sz w:val="16"/>
      <w:szCs w:val="16"/>
    </w:rPr>
  </w:style>
  <w:style w:type="character" w:styleId="1StrNN-1-23Char">
    <w:name w:val="1StrNN-1-23 Char"/>
    <w:qFormat/>
    <w:rPr>
      <w:rFonts w:ascii="Arial" w:hAnsi="Arial" w:cs="Arial"/>
      <w:b/>
      <w:sz w:val="28"/>
      <w:lang w:val="cs-CZ" w:bidi="ar-SA"/>
    </w:rPr>
  </w:style>
  <w:style w:type="character" w:styleId="1StrNN-4-4Char">
    <w:name w:val="1StrNN-4-4 Char"/>
    <w:basedOn w:val="1StrNN-1-23Char"/>
    <w:qFormat/>
    <w:rPr/>
  </w:style>
  <w:style w:type="character" w:styleId="Nadpis1Char">
    <w:name w:val="Nadpis 1 Char"/>
    <w:qFormat/>
    <w:rPr>
      <w:rFonts w:ascii="Arial" w:hAnsi="Arial" w:cs="Arial"/>
      <w:b/>
      <w:sz w:val="22"/>
    </w:rPr>
  </w:style>
  <w:style w:type="character" w:styleId="Nadpis3Char">
    <w:name w:val="Nadpis 3 Char"/>
    <w:qFormat/>
    <w:rPr>
      <w:rFonts w:ascii="Arial" w:hAnsi="Arial" w:cs="Arial"/>
      <w:b/>
    </w:rPr>
  </w:style>
  <w:style w:type="character" w:styleId="Nadpis4Char">
    <w:name w:val="Nadpis 4 Char"/>
    <w:qFormat/>
    <w:rPr>
      <w:rFonts w:ascii="Arial" w:hAnsi="Arial" w:cs="Arial"/>
      <w:b/>
    </w:rPr>
  </w:style>
  <w:style w:type="character" w:styleId="Nadpis5Char">
    <w:name w:val="Nadpis 5 Char"/>
    <w:qFormat/>
    <w:rPr>
      <w:rFonts w:ascii="Arial" w:hAnsi="Arial" w:cs="Arial"/>
      <w:b/>
    </w:rPr>
  </w:style>
  <w:style w:type="character" w:styleId="Nadpis6Char">
    <w:name w:val="Nadpis 6 Char"/>
    <w:qFormat/>
    <w:rPr>
      <w:rFonts w:ascii="Arial" w:hAnsi="Arial" w:cs="Arial"/>
      <w:b/>
    </w:rPr>
  </w:style>
  <w:style w:type="character" w:styleId="Nadpis7Char">
    <w:name w:val="Nadpis 7 Char"/>
    <w:qFormat/>
    <w:rPr>
      <w:rFonts w:ascii="Arial" w:hAnsi="Arial" w:cs="Arial"/>
      <w:b/>
    </w:rPr>
  </w:style>
  <w:style w:type="character" w:styleId="Nadpis8Char">
    <w:name w:val="Nadpis 8 Char"/>
    <w:qFormat/>
    <w:rPr>
      <w:rFonts w:ascii="Arial" w:hAnsi="Arial" w:cs="Arial"/>
      <w:b/>
    </w:rPr>
  </w:style>
  <w:style w:type="character" w:styleId="Nadpis9Char">
    <w:name w:val="Nadpis 9 Char"/>
    <w:qFormat/>
    <w:rPr>
      <w:rFonts w:ascii="Arial" w:hAnsi="Arial" w:cs="Arial"/>
      <w:b/>
    </w:rPr>
  </w:style>
  <w:style w:type="character" w:styleId="PoznmkaChar">
    <w:name w:val="Poznámka Char"/>
    <w:qFormat/>
    <w:rPr>
      <w:rFonts w:ascii="Arial" w:hAnsi="Arial" w:cs="Arial"/>
      <w:sz w:val="18"/>
    </w:rPr>
  </w:style>
  <w:style w:type="character" w:styleId="ZhlavChar">
    <w:name w:val="Záhlaví Char"/>
    <w:qFormat/>
    <w:rPr>
      <w:rFonts w:ascii="Arial" w:hAnsi="Arial" w:cs="Arial"/>
      <w:sz w:val="18"/>
    </w:rPr>
  </w:style>
  <w:style w:type="character" w:styleId="ZpatChar">
    <w:name w:val="Zápatí Char"/>
    <w:qFormat/>
    <w:rPr>
      <w:rFonts w:ascii="Arial" w:hAnsi="Arial" w:cs="Arial"/>
      <w:sz w:val="18"/>
    </w:rPr>
  </w:style>
  <w:style w:type="character" w:styleId="ZkladntextChar">
    <w:name w:val="Základní text Char"/>
    <w:qFormat/>
    <w:rPr>
      <w:rFonts w:ascii="Arial" w:hAnsi="Arial" w:cs="Arial"/>
    </w:rPr>
  </w:style>
  <w:style w:type="character" w:styleId="TextpoznpodarouChar">
    <w:name w:val="Text pozn. pod čarou Char"/>
    <w:qFormat/>
    <w:rPr>
      <w:rFonts w:ascii="Arial" w:hAnsi="Arial" w:cs="Arial"/>
      <w:sz w:val="18"/>
    </w:rPr>
  </w:style>
  <w:style w:type="character" w:styleId="TextnormyCharChar">
    <w:name w:val="Text normy Char Char"/>
    <w:qFormat/>
    <w:rPr>
      <w:rFonts w:ascii="Arial" w:hAnsi="Arial" w:cs="Arial"/>
      <w:lang w:val="cs-CZ" w:bidi="ar-SA"/>
    </w:rPr>
  </w:style>
  <w:style w:type="character" w:styleId="NzevChar">
    <w:name w:val="Název Char"/>
    <w:qFormat/>
    <w:rPr>
      <w:rFonts w:ascii="Arial" w:hAnsi="Arial" w:cs="Arial"/>
      <w:b/>
      <w:bCs/>
      <w:kern w:val="2"/>
      <w:sz w:val="32"/>
      <w:szCs w:val="32"/>
    </w:rPr>
  </w:style>
  <w:style w:type="paragraph" w:styleId="Heading">
    <w:name w:val="Heading"/>
    <w:basedOn w:val="Normal"/>
    <w:next w:val="BodyText"/>
    <w:qFormat/>
    <w:pPr>
      <w:spacing w:before="240" w:after="60"/>
      <w:jc w:val="center"/>
      <w:outlineLvl w:val="0"/>
    </w:pPr>
    <w:rPr>
      <w:rFonts w:cs="Arial"/>
      <w:b/>
      <w:bCs/>
      <w:kern w:val="2"/>
      <w:sz w:val="32"/>
      <w:szCs w:val="32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ind w:hanging="283" w:start="283" w:end="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extnormy">
    <w:name w:val="Text normy"/>
    <w:qFormat/>
    <w:pPr>
      <w:widowControl/>
      <w:bidi w:val="0"/>
      <w:spacing w:before="0" w:after="120"/>
      <w:jc w:val="both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Nadpislnku">
    <w:name w:val="Nadpis článku"/>
    <w:basedOn w:val="Textnormy"/>
    <w:next w:val="Textnormy"/>
    <w:qFormat/>
    <w:pPr>
      <w:keepNext w:val="true"/>
      <w:keepLines/>
      <w:suppressAutoHyphens w:val="true"/>
      <w:spacing w:before="120" w:after="120"/>
      <w:jc w:val="start"/>
    </w:pPr>
    <w:rPr>
      <w:b/>
    </w:rPr>
  </w:style>
  <w:style w:type="paragraph" w:styleId="Nadpiskapitoly">
    <w:name w:val="Nadpis kapitoly"/>
    <w:basedOn w:val="Nadpislnku"/>
    <w:next w:val="Textnormy"/>
    <w:qFormat/>
    <w:pPr>
      <w:spacing w:before="240" w:after="180"/>
    </w:pPr>
    <w:rPr>
      <w:sz w:val="24"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1StrNN-2-23">
    <w:name w:val="1StrNN-2-23"/>
    <w:basedOn w:val="1StrNN-1-23"/>
    <w:qFormat/>
    <w:pPr>
      <w:spacing w:before="480" w:after="0"/>
    </w:pPr>
    <w:rPr/>
  </w:style>
  <w:style w:type="paragraph" w:styleId="Cizojazynnzev">
    <w:name w:val="Cizojazyčný název"/>
    <w:basedOn w:val="Textnormy"/>
    <w:qFormat/>
    <w:pPr>
      <w:widowControl w:val="false"/>
      <w:suppressAutoHyphens w:val="true"/>
      <w:jc w:val="start"/>
    </w:pPr>
    <w:rPr>
      <w:sz w:val="18"/>
      <w:lang w:val="en-GB"/>
    </w:rPr>
  </w:style>
  <w:style w:type="paragraph" w:styleId="slovanseznam">
    <w:name w:val="Číslovaný seznam"/>
    <w:basedOn w:val="Textnormy"/>
    <w:qFormat/>
    <w:pPr>
      <w:numPr>
        <w:ilvl w:val="0"/>
        <w:numId w:val="14"/>
      </w:numPr>
      <w:ind w:hanging="284" w:start="284" w:end="0"/>
    </w:pPr>
    <w:rPr/>
  </w:style>
  <w:style w:type="paragraph" w:styleId="Index1">
    <w:name w:val="index 1"/>
    <w:basedOn w:val="Textnormy"/>
    <w:next w:val="Textnormy"/>
    <w:pPr>
      <w:tabs>
        <w:tab w:val="clear" w:pos="709"/>
        <w:tab w:val="right" w:pos="9923" w:leader="none"/>
      </w:tabs>
      <w:spacing w:before="0" w:after="60"/>
      <w:ind w:hanging="198" w:start="198" w:end="0"/>
      <w:jc w:val="start"/>
    </w:pPr>
    <w:rPr>
      <w:sz w:val="18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9"/>
        <w:tab w:val="right" w:pos="9923" w:leader="none"/>
      </w:tabs>
      <w:spacing w:before="240" w:after="360"/>
      <w:jc w:val="start"/>
    </w:pPr>
    <w:rPr>
      <w:sz w:val="28"/>
    </w:rPr>
  </w:style>
  <w:style w:type="paragraph" w:styleId="Poznmka">
    <w:name w:val="Poznámka"/>
    <w:basedOn w:val="Textnormy"/>
    <w:next w:val="Textnormy"/>
    <w:qFormat/>
    <w:pPr>
      <w:spacing w:before="80" w:after="200"/>
    </w:pPr>
    <w:rPr>
      <w:sz w:val="18"/>
    </w:rPr>
  </w:style>
  <w:style w:type="paragraph" w:styleId="Seznampoznmek">
    <w:name w:val="Seznam poznámek"/>
    <w:basedOn w:val="Poznmka"/>
    <w:qFormat/>
    <w:pPr>
      <w:numPr>
        <w:ilvl w:val="0"/>
        <w:numId w:val="19"/>
      </w:numPr>
      <w:spacing w:before="0" w:after="120"/>
      <w:ind w:hanging="284" w:start="284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Textnormy"/>
    <w:pPr/>
    <w:rPr>
      <w:sz w:val="18"/>
    </w:rPr>
  </w:style>
  <w:style w:type="paragraph" w:styleId="Footer">
    <w:name w:val="footer"/>
    <w:basedOn w:val="Textnormy"/>
    <w:pPr>
      <w:jc w:val="center"/>
    </w:pPr>
    <w:rPr>
      <w:sz w:val="18"/>
    </w:rPr>
  </w:style>
  <w:style w:type="paragraph" w:styleId="TOC1">
    <w:name w:val="toc 1"/>
    <w:basedOn w:val="Textnormy"/>
    <w:next w:val="Textnormy"/>
    <w:pPr>
      <w:tabs>
        <w:tab w:val="clear" w:pos="709"/>
        <w:tab w:val="right" w:pos="9752" w:leader="dot"/>
        <w:tab w:val="right" w:pos="9923" w:leader="none"/>
      </w:tabs>
      <w:ind w:hanging="567" w:start="567" w:end="0"/>
      <w:jc w:val="start"/>
    </w:pPr>
    <w:rPr>
      <w:sz w:val="18"/>
      <w:lang w:val="en-US" w:eastAsia="en-US"/>
    </w:rPr>
  </w:style>
  <w:style w:type="paragraph" w:styleId="TOC2">
    <w:name w:val="toc 2"/>
    <w:basedOn w:val="TOC1"/>
    <w:next w:val="Textnormy"/>
    <w:pPr/>
    <w:rPr/>
  </w:style>
  <w:style w:type="paragraph" w:styleId="TOC5">
    <w:name w:val="toc 5"/>
    <w:basedOn w:val="TOC1"/>
    <w:next w:val="Textnormy"/>
    <w:pPr/>
    <w:rPr/>
  </w:style>
  <w:style w:type="paragraph" w:styleId="TOC3">
    <w:name w:val="toc 3"/>
    <w:basedOn w:val="TOC1"/>
    <w:next w:val="Textnormy"/>
    <w:pPr/>
    <w:rPr/>
  </w:style>
  <w:style w:type="paragraph" w:styleId="TOC4">
    <w:name w:val="toc 4"/>
    <w:basedOn w:val="TOC1"/>
    <w:next w:val="Textnormy"/>
    <w:pPr/>
    <w:rPr/>
  </w:style>
  <w:style w:type="paragraph" w:styleId="TOC6">
    <w:name w:val="toc 6"/>
    <w:basedOn w:val="TOC1"/>
    <w:next w:val="Textnormy"/>
    <w:pPr/>
    <w:rPr/>
  </w:style>
  <w:style w:type="paragraph" w:styleId="TOC7">
    <w:name w:val="toc 7"/>
    <w:basedOn w:val="TOC1"/>
    <w:next w:val="Textnormy"/>
    <w:pPr/>
    <w:rPr/>
  </w:style>
  <w:style w:type="paragraph" w:styleId="TOC8">
    <w:name w:val="toc 8"/>
    <w:basedOn w:val="TOC1"/>
    <w:next w:val="Textnormy"/>
    <w:pPr/>
    <w:rPr/>
  </w:style>
  <w:style w:type="paragraph" w:styleId="TOC9">
    <w:name w:val="toc 9"/>
    <w:basedOn w:val="Normal"/>
    <w:next w:val="Normal"/>
    <w:pPr>
      <w:ind w:hanging="0" w:start="1600" w:end="0"/>
    </w:pPr>
    <w:rPr/>
  </w:style>
  <w:style w:type="paragraph" w:styleId="Abecednseznam">
    <w:name w:val="Abecední seznam"/>
    <w:basedOn w:val="Textnormy"/>
    <w:qFormat/>
    <w:pPr>
      <w:numPr>
        <w:ilvl w:val="0"/>
        <w:numId w:val="16"/>
      </w:numPr>
      <w:tabs>
        <w:tab w:val="clear" w:pos="709"/>
      </w:tabs>
    </w:pPr>
    <w:rPr/>
  </w:style>
  <w:style w:type="paragraph" w:styleId="slovanseznamvnorm">
    <w:name w:val="Číslovaný seznam v normě"/>
    <w:basedOn w:val="Textnormy"/>
    <w:qFormat/>
    <w:pPr>
      <w:numPr>
        <w:ilvl w:val="0"/>
        <w:numId w:val="15"/>
      </w:numPr>
      <w:tabs>
        <w:tab w:val="clear" w:pos="709"/>
      </w:tabs>
    </w:pPr>
    <w:rPr/>
  </w:style>
  <w:style w:type="paragraph" w:styleId="Seznamvnorm">
    <w:name w:val="Seznam v normě"/>
    <w:basedOn w:val="Textnormy"/>
    <w:qFormat/>
    <w:pPr>
      <w:numPr>
        <w:ilvl w:val="0"/>
        <w:numId w:val="11"/>
      </w:numPr>
      <w:tabs>
        <w:tab w:val="clear" w:pos="709"/>
      </w:tabs>
      <w:ind w:hanging="284" w:start="284" w:end="0"/>
    </w:pPr>
    <w:rPr/>
  </w:style>
  <w:style w:type="paragraph" w:styleId="Obrzek">
    <w:name w:val="Obrázek"/>
    <w:basedOn w:val="Textnormy"/>
    <w:next w:val="NadpisTabObr"/>
    <w:qFormat/>
    <w:pPr>
      <w:keepNext w:val="true"/>
      <w:spacing w:before="0" w:after="160"/>
      <w:jc w:val="center"/>
    </w:pPr>
    <w:rPr/>
  </w:style>
  <w:style w:type="paragraph" w:styleId="NadpisTabObr">
    <w:name w:val="NadpisTabObr"/>
    <w:basedOn w:val="Nadpislnku"/>
    <w:next w:val="Textnormy"/>
    <w:qFormat/>
    <w:pPr>
      <w:keepNext w:val="false"/>
      <w:jc w:val="center"/>
    </w:pPr>
    <w:rPr/>
  </w:style>
  <w:style w:type="paragraph" w:styleId="Titulek">
    <w:name w:val="Titulek"/>
    <w:basedOn w:val="Normal"/>
    <w:next w:val="Normal"/>
    <w:qFormat/>
    <w:pPr>
      <w:spacing w:before="120" w:after="120"/>
    </w:pPr>
    <w:rPr>
      <w:b/>
    </w:rPr>
  </w:style>
  <w:style w:type="paragraph" w:styleId="FootnoteText">
    <w:name w:val="footnote text"/>
    <w:basedOn w:val="Poznmka"/>
    <w:pPr>
      <w:spacing w:before="60" w:after="0"/>
    </w:pPr>
    <w:rPr/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en-US" w:eastAsia="en-US"/>
    </w:rPr>
  </w:style>
  <w:style w:type="paragraph" w:styleId="1Str1Rad">
    <w:name w:val="1Str1Rad"/>
    <w:basedOn w:val="Textnormy"/>
    <w:qFormat/>
    <w:pPr>
      <w:widowControl w:val="false"/>
      <w:tabs>
        <w:tab w:val="clear" w:pos="709"/>
        <w:tab w:val="left" w:pos="7371" w:leader="none"/>
        <w:tab w:val="right" w:pos="9923" w:leader="none"/>
      </w:tabs>
    </w:pPr>
    <w:rPr/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EnvelopeReturn">
    <w:name w:val="envelope return"/>
    <w:basedOn w:val="Normal"/>
    <w:pPr/>
    <w:rPr/>
  </w:style>
  <w:style w:type="paragraph" w:styleId="IndexHeading">
    <w:name w:val="index heading"/>
    <w:basedOn w:val="Textnormy"/>
    <w:next w:val="Index1"/>
    <w:pPr>
      <w:spacing w:before="120" w:after="60"/>
      <w:jc w:val="start"/>
    </w:pPr>
    <w:rPr>
      <w:b/>
      <w:sz w:val="18"/>
    </w:rPr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sz w:val="18"/>
    </w:rPr>
  </w:style>
  <w:style w:type="paragraph" w:styleId="EvropNorma">
    <w:name w:val="EvropNorma"/>
    <w:basedOn w:val="Textnormy"/>
    <w:qFormat/>
    <w:pPr>
      <w:pageBreakBefore/>
      <w:pBdr>
        <w:bottom w:val="single" w:sz="6" w:space="6" w:color="000000"/>
      </w:pBdr>
      <w:tabs>
        <w:tab w:val="clear" w:pos="709"/>
        <w:tab w:val="left" w:pos="8505" w:leader="none"/>
      </w:tabs>
      <w:jc w:val="start"/>
    </w:pPr>
    <w:rPr>
      <w:b/>
      <w:kern w:val="2"/>
      <w:sz w:val="24"/>
    </w:rPr>
  </w:style>
  <w:style w:type="paragraph" w:styleId="ICS">
    <w:name w:val="ICS"/>
    <w:basedOn w:val="Textnormy"/>
    <w:qFormat/>
    <w:pPr>
      <w:tabs>
        <w:tab w:val="clear" w:pos="709"/>
        <w:tab w:val="right" w:pos="9923" w:leader="none"/>
      </w:tabs>
      <w:spacing w:before="0" w:after="480"/>
    </w:pPr>
    <w:rPr>
      <w:kern w:val="2"/>
    </w:rPr>
  </w:style>
  <w:style w:type="paragraph" w:styleId="NzNorCZ">
    <w:name w:val="NázNorCZ"/>
    <w:basedOn w:val="Textnormy"/>
    <w:next w:val="NzNorUS"/>
    <w:qFormat/>
    <w:pPr>
      <w:suppressAutoHyphens w:val="true"/>
      <w:spacing w:before="0" w:after="240"/>
      <w:ind w:hanging="0" w:start="1134" w:end="1134"/>
      <w:jc w:val="center"/>
    </w:pPr>
    <w:rPr>
      <w:b/>
    </w:rPr>
  </w:style>
  <w:style w:type="paragraph" w:styleId="NzNorUS">
    <w:name w:val="NázNorUS"/>
    <w:basedOn w:val="Textnormy"/>
    <w:next w:val="NzNorFraGer"/>
    <w:qFormat/>
    <w:pPr>
      <w:suppressAutoHyphens w:val="true"/>
      <w:spacing w:before="0" w:after="240"/>
      <w:ind w:hanging="0" w:start="1134" w:end="1134"/>
      <w:jc w:val="center"/>
    </w:pPr>
    <w:rPr>
      <w:lang w:val="en-GB"/>
    </w:rPr>
  </w:style>
  <w:style w:type="paragraph" w:styleId="NzNorFraGer">
    <w:name w:val="NázNorFraGer"/>
    <w:basedOn w:val="Textnormy"/>
    <w:next w:val="Textnormy"/>
    <w:qFormat/>
    <w:pPr>
      <w:tabs>
        <w:tab w:val="clear" w:pos="709"/>
        <w:tab w:val="left" w:pos="4536" w:leader="none"/>
      </w:tabs>
      <w:suppressAutoHyphens w:val="true"/>
      <w:spacing w:before="0" w:after="480"/>
      <w:jc w:val="start"/>
    </w:pPr>
    <w:rPr/>
  </w:style>
  <w:style w:type="paragraph" w:styleId="Pidat4body">
    <w:name w:val="Přidat4body"/>
    <w:basedOn w:val="1StrNN-1-23"/>
    <w:qFormat/>
    <w:pPr>
      <w:spacing w:lineRule="exact" w:line="80" w:before="0" w:after="0"/>
      <w:ind w:hanging="0" w:start="0" w:end="0"/>
    </w:pPr>
    <w:rPr>
      <w:color w:val="FF0000"/>
      <w:sz w:val="8"/>
    </w:rPr>
  </w:style>
  <w:style w:type="paragraph" w:styleId="1StrNN-3-23">
    <w:name w:val="1StrNN-3-23"/>
    <w:basedOn w:val="1StrNN-1-23"/>
    <w:qFormat/>
    <w:pPr>
      <w:spacing w:before="300" w:after="0"/>
    </w:pPr>
    <w:rPr/>
  </w:style>
  <w:style w:type="paragraph" w:styleId="1StrNN-X">
    <w:name w:val="1StrNN-X"/>
    <w:basedOn w:val="1StrNN-1-23"/>
    <w:qFormat/>
    <w:pPr>
      <w:spacing w:before="180" w:after="180"/>
    </w:pPr>
    <w:rPr/>
  </w:style>
  <w:style w:type="paragraph" w:styleId="1StrNN-1-4">
    <w:name w:val="1StrNN-1-4"/>
    <w:basedOn w:val="1StrNN-1-23"/>
    <w:qFormat/>
    <w:pPr>
      <w:spacing w:before="800" w:after="0"/>
    </w:pPr>
    <w:rPr/>
  </w:style>
  <w:style w:type="paragraph" w:styleId="1StrNN-2-4">
    <w:name w:val="1StrNN-2-4"/>
    <w:basedOn w:val="1StrNN-1-23"/>
    <w:qFormat/>
    <w:pPr/>
    <w:rPr/>
  </w:style>
  <w:style w:type="paragraph" w:styleId="1StrNN-3-4">
    <w:name w:val="1StrNN-3-4"/>
    <w:basedOn w:val="1StrNN-1-23"/>
    <w:qFormat/>
    <w:pPr>
      <w:spacing w:before="460" w:after="0"/>
    </w:pPr>
    <w:rPr/>
  </w:style>
  <w:style w:type="paragraph" w:styleId="1StrNN-4-4">
    <w:name w:val="1StrNN-4-4"/>
    <w:basedOn w:val="1StrNN-1-23"/>
    <w:qFormat/>
    <w:pPr>
      <w:spacing w:before="340" w:after="0"/>
    </w:pPr>
    <w:rPr/>
  </w:style>
  <w:style w:type="paragraph" w:styleId="Poznmkavnorm">
    <w:name w:val="Poznámka v normě"/>
    <w:basedOn w:val="Textnormy"/>
    <w:next w:val="Textnormy"/>
    <w:qFormat/>
    <w:pPr>
      <w:spacing w:before="80" w:after="200"/>
    </w:pPr>
    <w:rPr>
      <w:sz w:val="18"/>
    </w:rPr>
  </w:style>
  <w:style w:type="paragraph" w:styleId="TextnormyUS">
    <w:name w:val="Text normy US"/>
    <w:basedOn w:val="Textnormy"/>
    <w:qFormat/>
    <w:pPr>
      <w:spacing w:before="0" w:after="0"/>
    </w:pPr>
    <w:rPr>
      <w:lang w:val="en-US" w:eastAsia="en-US"/>
    </w:rPr>
  </w:style>
  <w:style w:type="paragraph" w:styleId="ABCseznamCZ">
    <w:name w:val="ABC seznamCZ"/>
    <w:basedOn w:val="Textnormy"/>
    <w:qFormat/>
    <w:pPr>
      <w:numPr>
        <w:ilvl w:val="0"/>
        <w:numId w:val="18"/>
      </w:numPr>
    </w:pPr>
    <w:rPr/>
  </w:style>
  <w:style w:type="paragraph" w:styleId="Tir">
    <w:name w:val="Tiráž"/>
    <w:basedOn w:val="Normal"/>
    <w:qFormat/>
    <w:pPr/>
    <w:rPr>
      <w:sz w:val="16"/>
      <w:lang w:val="en-US" w:eastAsia="en-US"/>
    </w:rPr>
  </w:style>
  <w:style w:type="paragraph" w:styleId="1StrCopyright">
    <w:name w:val="1StrCopyright"/>
    <w:basedOn w:val="Footer"/>
    <w:qFormat/>
    <w:pPr>
      <w:tabs>
        <w:tab w:val="clear" w:pos="709"/>
        <w:tab w:val="left" w:pos="2155" w:leader="none"/>
        <w:tab w:val="right" w:pos="9923" w:leader="none"/>
      </w:tabs>
      <w:spacing w:before="0" w:after="0"/>
      <w:ind w:hanging="2126" w:start="2126" w:end="0"/>
      <w:jc w:val="start"/>
    </w:pPr>
    <w:rPr/>
  </w:style>
  <w:style w:type="paragraph" w:styleId="ABCSeznamUS">
    <w:name w:val="ABC SeznamUS"/>
    <w:basedOn w:val="Textnormy"/>
    <w:qFormat/>
    <w:pPr>
      <w:numPr>
        <w:ilvl w:val="0"/>
        <w:numId w:val="12"/>
      </w:numPr>
      <w:tabs>
        <w:tab w:val="clear" w:pos="709"/>
      </w:tabs>
    </w:pPr>
    <w:rPr>
      <w:lang w:val="en-US"/>
    </w:rPr>
  </w:style>
  <w:style w:type="paragraph" w:styleId="Textnormy1str">
    <w:name w:val="Text normy 1str"/>
    <w:basedOn w:val="Textnormy"/>
    <w:qFormat/>
    <w:pPr>
      <w:jc w:val="start"/>
    </w:pPr>
    <w:rPr/>
  </w:style>
  <w:style w:type="paragraph" w:styleId="1StrNN-4-3">
    <w:name w:val="1StrNN-4-3"/>
    <w:basedOn w:val="1StrNN-1-23"/>
    <w:qFormat/>
    <w:pPr>
      <w:spacing w:before="160" w:after="0"/>
    </w:pPr>
    <w:rPr/>
  </w:style>
  <w:style w:type="paragraph" w:styleId="Upozornn">
    <w:name w:val="Upozornění"/>
    <w:basedOn w:val="Normal"/>
    <w:qFormat/>
    <w:pPr>
      <w:jc w:val="both"/>
    </w:pPr>
    <w:rPr>
      <w:sz w:val="18"/>
    </w:rPr>
  </w:style>
  <w:style w:type="paragraph" w:styleId="AdresaHTML">
    <w:name w:val="Adresa HTML"/>
    <w:basedOn w:val="Normal"/>
    <w:qFormat/>
    <w:pPr/>
    <w:rPr>
      <w:i/>
      <w:iCs/>
    </w:rPr>
  </w:style>
  <w:style w:type="paragraph" w:styleId="EnvelopeAddress">
    <w:name w:val="envelope address"/>
    <w:basedOn w:val="Normal"/>
    <w:pPr>
      <w:ind w:hanging="0" w:start="2880" w:end="0"/>
    </w:pPr>
    <w:rPr>
      <w:rFonts w:cs="Arial"/>
      <w:sz w:val="24"/>
      <w:szCs w:val="24"/>
    </w:rPr>
  </w:style>
  <w:style w:type="paragraph" w:styleId="slovanseznam2">
    <w:name w:val="Číslovaný seznam 2"/>
    <w:basedOn w:val="Normal"/>
    <w:qFormat/>
    <w:pPr>
      <w:numPr>
        <w:ilvl w:val="0"/>
        <w:numId w:val="5"/>
      </w:numPr>
    </w:pPr>
    <w:rPr/>
  </w:style>
  <w:style w:type="paragraph" w:styleId="slovanseznam3">
    <w:name w:val="Číslovaný seznam 3"/>
    <w:basedOn w:val="Normal"/>
    <w:qFormat/>
    <w:pPr>
      <w:numPr>
        <w:ilvl w:val="0"/>
        <w:numId w:val="4"/>
      </w:numPr>
    </w:pPr>
    <w:rPr/>
  </w:style>
  <w:style w:type="paragraph" w:styleId="slovanseznam4">
    <w:name w:val="Číslovaný seznam 4"/>
    <w:basedOn w:val="Normal"/>
    <w:qFormat/>
    <w:pPr>
      <w:numPr>
        <w:ilvl w:val="0"/>
        <w:numId w:val="3"/>
      </w:numPr>
    </w:pPr>
    <w:rPr/>
  </w:style>
  <w:style w:type="paragraph" w:styleId="slovanseznam5">
    <w:name w:val="Číslovaný seznam 5"/>
    <w:basedOn w:val="Normal"/>
    <w:qFormat/>
    <w:pPr>
      <w:numPr>
        <w:ilvl w:val="0"/>
        <w:numId w:val="2"/>
      </w:numPr>
    </w:pPr>
    <w:rPr/>
  </w:style>
  <w:style w:type="paragraph" w:styleId="Datum">
    <w:name w:val="Datum"/>
    <w:basedOn w:val="Normal"/>
    <w:next w:val="Normal"/>
    <w:qFormat/>
    <w:pPr/>
    <w:rPr/>
  </w:style>
  <w:style w:type="paragraph" w:styleId="FormtovanvHTML">
    <w:name w:val="Formátovaný v HTML"/>
    <w:basedOn w:val="Normal"/>
    <w:qFormat/>
    <w:pPr/>
    <w:rPr>
      <w:rFonts w:ascii="Courier New" w:hAnsi="Courier New" w:cs="Courier New"/>
    </w:rPr>
  </w:style>
  <w:style w:type="paragraph" w:styleId="Nadpispoznmky">
    <w:name w:val="Nadpis poznámky"/>
    <w:basedOn w:val="Normal"/>
    <w:next w:val="Normal"/>
    <w:qFormat/>
    <w:pPr/>
    <w:rPr/>
  </w:style>
  <w:style w:type="paragraph" w:styleId="Normlnweb">
    <w:name w:val="Normální (web)"/>
    <w:basedOn w:val="Normal"/>
    <w:qFormat/>
    <w:pPr/>
    <w:rPr>
      <w:rFonts w:ascii="Times New Roman" w:hAnsi="Times New Roman" w:cs="Times New Roman"/>
      <w:sz w:val="24"/>
      <w:szCs w:val="24"/>
    </w:rPr>
  </w:style>
  <w:style w:type="paragraph" w:styleId="Normlnodsazen">
    <w:name w:val="Normální odsazený"/>
    <w:basedOn w:val="Normal"/>
    <w:qFormat/>
    <w:pPr>
      <w:ind w:hanging="0" w:start="708" w:end="0"/>
    </w:pPr>
    <w:rPr/>
  </w:style>
  <w:style w:type="paragraph" w:styleId="Osloven">
    <w:name w:val="Oslovení"/>
    <w:basedOn w:val="Normal"/>
    <w:next w:val="Normal"/>
    <w:qFormat/>
    <w:pPr/>
    <w:rPr/>
  </w:style>
  <w:style w:type="paragraph" w:styleId="Signature">
    <w:name w:val="Signature"/>
    <w:basedOn w:val="Normal"/>
    <w:pPr>
      <w:ind w:hanging="0" w:start="4252" w:end="0"/>
    </w:pPr>
    <w:rPr/>
  </w:style>
  <w:style w:type="paragraph" w:styleId="Podpise-mailu">
    <w:name w:val="Podpis e-mailu"/>
    <w:basedOn w:val="Normal"/>
    <w:qFormat/>
    <w:pPr/>
    <w:rPr/>
  </w:style>
  <w:style w:type="paragraph" w:styleId="Subtitle">
    <w:name w:val="Subtitle"/>
    <w:basedOn w:val="Normal"/>
    <w:next w:val="BodyText"/>
    <w:qFormat/>
    <w:pPr>
      <w:spacing w:before="0" w:after="60"/>
      <w:jc w:val="center"/>
      <w:outlineLvl w:val="1"/>
    </w:pPr>
    <w:rPr>
      <w:rFonts w:cs="Arial"/>
      <w:sz w:val="24"/>
      <w:szCs w:val="24"/>
    </w:rPr>
  </w:style>
  <w:style w:type="paragraph" w:styleId="Pokraovnseznamu">
    <w:name w:val="Pokračování seznamu"/>
    <w:basedOn w:val="Normal"/>
    <w:qFormat/>
    <w:pPr>
      <w:spacing w:before="0" w:after="120"/>
      <w:ind w:hanging="0" w:start="283" w:end="0"/>
    </w:pPr>
    <w:rPr/>
  </w:style>
  <w:style w:type="paragraph" w:styleId="Pokraovnseznamu2">
    <w:name w:val="Pokračování seznamu 2"/>
    <w:basedOn w:val="Normal"/>
    <w:qFormat/>
    <w:pPr>
      <w:spacing w:before="0" w:after="120"/>
      <w:ind w:hanging="0" w:start="566" w:end="0"/>
    </w:pPr>
    <w:rPr/>
  </w:style>
  <w:style w:type="paragraph" w:styleId="Pokraovnseznamu3">
    <w:name w:val="Pokračování seznamu 3"/>
    <w:basedOn w:val="Normal"/>
    <w:qFormat/>
    <w:pPr>
      <w:spacing w:before="0" w:after="120"/>
      <w:ind w:hanging="0" w:start="849" w:end="0"/>
    </w:pPr>
    <w:rPr/>
  </w:style>
  <w:style w:type="paragraph" w:styleId="Pokraovnseznamu4">
    <w:name w:val="Pokračování seznamu 4"/>
    <w:basedOn w:val="Normal"/>
    <w:qFormat/>
    <w:pPr>
      <w:spacing w:before="0" w:after="120"/>
      <w:ind w:hanging="0" w:start="1132" w:end="0"/>
    </w:pPr>
    <w:rPr/>
  </w:style>
  <w:style w:type="paragraph" w:styleId="Pokraovnseznamu5">
    <w:name w:val="Pokračování seznamu 5"/>
    <w:basedOn w:val="Normal"/>
    <w:qFormat/>
    <w:pPr>
      <w:spacing w:before="0" w:after="120"/>
      <w:ind w:hanging="0" w:start="1415" w:end="0"/>
    </w:pPr>
    <w:rPr/>
  </w:style>
  <w:style w:type="paragraph" w:styleId="Prosttext">
    <w:name w:val="Prostý text"/>
    <w:basedOn w:val="Normal"/>
    <w:qFormat/>
    <w:pPr/>
    <w:rPr>
      <w:rFonts w:ascii="Courier New" w:hAnsi="Courier New" w:cs="Courier New"/>
    </w:rPr>
  </w:style>
  <w:style w:type="paragraph" w:styleId="Seznam2">
    <w:name w:val="Seznam 2"/>
    <w:basedOn w:val="Normal"/>
    <w:qFormat/>
    <w:pPr>
      <w:ind w:hanging="283" w:start="566" w:end="0"/>
    </w:pPr>
    <w:rPr/>
  </w:style>
  <w:style w:type="paragraph" w:styleId="Seznam3">
    <w:name w:val="Seznam 3"/>
    <w:basedOn w:val="Normal"/>
    <w:qFormat/>
    <w:pPr>
      <w:ind w:hanging="283" w:start="849" w:end="0"/>
    </w:pPr>
    <w:rPr/>
  </w:style>
  <w:style w:type="paragraph" w:styleId="Seznam4">
    <w:name w:val="Seznam 4"/>
    <w:basedOn w:val="Normal"/>
    <w:qFormat/>
    <w:pPr>
      <w:ind w:hanging="283" w:start="1132" w:end="0"/>
    </w:pPr>
    <w:rPr/>
  </w:style>
  <w:style w:type="paragraph" w:styleId="Seznam5">
    <w:name w:val="Seznam 5"/>
    <w:basedOn w:val="Normal"/>
    <w:qFormat/>
    <w:pPr>
      <w:ind w:hanging="283" w:start="1415" w:end="0"/>
    </w:pPr>
    <w:rPr/>
  </w:style>
  <w:style w:type="paragraph" w:styleId="Seznamsodrkami">
    <w:name w:val="Seznam s odrážkami"/>
    <w:basedOn w:val="Normal"/>
    <w:qFormat/>
    <w:pPr>
      <w:numPr>
        <w:ilvl w:val="0"/>
        <w:numId w:val="10"/>
      </w:numPr>
    </w:pPr>
    <w:rPr/>
  </w:style>
  <w:style w:type="paragraph" w:styleId="Seznamsodrkami2">
    <w:name w:val="Seznam s odrážkami 2"/>
    <w:basedOn w:val="Normal"/>
    <w:qFormat/>
    <w:pPr>
      <w:numPr>
        <w:ilvl w:val="0"/>
        <w:numId w:val="9"/>
      </w:numPr>
    </w:pPr>
    <w:rPr/>
  </w:style>
  <w:style w:type="paragraph" w:styleId="Seznamsodrkami3">
    <w:name w:val="Seznam s odrážkami 3"/>
    <w:basedOn w:val="Normal"/>
    <w:qFormat/>
    <w:pPr>
      <w:numPr>
        <w:ilvl w:val="0"/>
        <w:numId w:val="8"/>
      </w:numPr>
    </w:pPr>
    <w:rPr/>
  </w:style>
  <w:style w:type="paragraph" w:styleId="Seznamsodrkami4">
    <w:name w:val="Seznam s odrážkami 4"/>
    <w:basedOn w:val="Normal"/>
    <w:qFormat/>
    <w:pPr>
      <w:numPr>
        <w:ilvl w:val="0"/>
        <w:numId w:val="7"/>
      </w:numPr>
      <w:spacing w:before="0" w:after="60"/>
      <w:ind w:hanging="357" w:start="1208" w:end="0"/>
      <w:jc w:val="both"/>
    </w:pPr>
    <w:rPr/>
  </w:style>
  <w:style w:type="paragraph" w:styleId="Seznamsodrkami5">
    <w:name w:val="Seznam s odrážkami 5"/>
    <w:basedOn w:val="Normal"/>
    <w:qFormat/>
    <w:pPr>
      <w:numPr>
        <w:ilvl w:val="0"/>
        <w:numId w:val="6"/>
      </w:numPr>
    </w:pPr>
    <w:rPr/>
  </w:style>
  <w:style w:type="paragraph" w:styleId="Textvbloku">
    <w:name w:val="Text v bloku"/>
    <w:basedOn w:val="Normal"/>
    <w:qFormat/>
    <w:pPr>
      <w:spacing w:before="0" w:after="120"/>
      <w:ind w:hanging="0" w:start="1440" w:end="1440"/>
    </w:pPr>
    <w:rPr/>
  </w:style>
  <w:style w:type="paragraph" w:styleId="Zhlavzprvy">
    <w:name w:val="Záhlaví zprávy"/>
    <w:basedOn w:val="Normal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fill="CCCCCC" w:val="clear"/>
      <w:ind w:hanging="1134" w:start="1134" w:end="0"/>
    </w:pPr>
    <w:rPr>
      <w:rFonts w:cs="Arial"/>
      <w:sz w:val="24"/>
      <w:szCs w:val="24"/>
    </w:rPr>
  </w:style>
  <w:style w:type="paragraph" w:styleId="Zkladntext-prvnodsazen">
    <w:name w:val="Základní text - první odsazený"/>
    <w:basedOn w:val="BodyText"/>
    <w:qFormat/>
    <w:pPr>
      <w:ind w:firstLine="210" w:start="0" w:end="0"/>
    </w:pPr>
    <w:rPr/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Zkladntext-prvnodsazen2">
    <w:name w:val="Základní text - první odsazený 2"/>
    <w:basedOn w:val="BodyTextIndent"/>
    <w:qFormat/>
    <w:pPr>
      <w:ind w:firstLine="210" w:start="283" w:end="0"/>
    </w:pPr>
    <w:rPr/>
  </w:style>
  <w:style w:type="paragraph" w:styleId="Zkladntext2">
    <w:name w:val="Základní text 2"/>
    <w:basedOn w:val="Normal"/>
    <w:qFormat/>
    <w:pPr>
      <w:spacing w:lineRule="auto" w:line="480" w:before="0" w:after="120"/>
    </w:pPr>
    <w:rPr/>
  </w:style>
  <w:style w:type="paragraph" w:styleId="Zkladntext3">
    <w:name w:val="Základní text 3"/>
    <w:basedOn w:val="Normal"/>
    <w:qFormat/>
    <w:pPr>
      <w:spacing w:before="0" w:after="120"/>
    </w:pPr>
    <w:rPr>
      <w:sz w:val="16"/>
      <w:szCs w:val="16"/>
    </w:rPr>
  </w:style>
  <w:style w:type="paragraph" w:styleId="Zkladntextodsazen2">
    <w:name w:val="Základní text odsazený 2"/>
    <w:basedOn w:val="Normal"/>
    <w:qFormat/>
    <w:pPr>
      <w:spacing w:lineRule="auto" w:line="480" w:before="0" w:after="120"/>
      <w:ind w:hanging="0" w:start="283" w:end="0"/>
    </w:pPr>
    <w:rPr/>
  </w:style>
  <w:style w:type="paragraph" w:styleId="Zkladntextodsazen3">
    <w:name w:val="Základní text odsazený 3"/>
    <w:basedOn w:val="Normal"/>
    <w:qFormat/>
    <w:pPr>
      <w:spacing w:before="0" w:after="120"/>
      <w:ind w:hanging="0" w:start="283" w:end="0"/>
    </w:pPr>
    <w:rPr>
      <w:sz w:val="16"/>
      <w:szCs w:val="16"/>
    </w:rPr>
  </w:style>
  <w:style w:type="paragraph" w:styleId="Zvr">
    <w:name w:val="Závěr"/>
    <w:basedOn w:val="Normal"/>
    <w:qFormat/>
    <w:pPr>
      <w:ind w:hanging="0" w:start="4252" w:end="0"/>
    </w:pPr>
    <w:rPr/>
  </w:style>
  <w:style w:type="paragraph" w:styleId="bibliografie">
    <w:name w:val="bibliografie"/>
    <w:basedOn w:val="slovanseznamvnorm"/>
    <w:next w:val="Textnormy"/>
    <w:qFormat/>
    <w:pPr>
      <w:numPr>
        <w:ilvl w:val="0"/>
        <w:numId w:val="13"/>
      </w:numPr>
      <w:ind w:hanging="567" w:start="567" w:end="0"/>
    </w:pPr>
    <w:rPr/>
  </w:style>
  <w:style w:type="paragraph" w:styleId="Textkomente">
    <w:name w:val="Text komentáře"/>
    <w:basedOn w:val="Normal"/>
    <w:qFormat/>
    <w:pPr/>
    <w:rPr/>
  </w:style>
  <w:style w:type="paragraph" w:styleId="Pedmtkomente">
    <w:name w:val="Předmět komentáře"/>
    <w:basedOn w:val="Textkomente"/>
    <w:next w:val="Textkomente"/>
    <w:qFormat/>
    <w:pPr/>
    <w:rPr>
      <w:b/>
      <w:bCs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cs-CZ" w:bidi="ar-SA" w:eastAsia="zh-CN"/>
    </w:rPr>
  </w:style>
  <w:style w:type="paragraph" w:styleId="zzLc5">
    <w:name w:val="zzLc5"/>
    <w:basedOn w:val="Normal"/>
    <w:next w:val="Normal"/>
    <w:qFormat/>
    <w:pPr>
      <w:tabs>
        <w:tab w:val="clear" w:pos="709"/>
        <w:tab w:val="left" w:pos="1080" w:leader="none"/>
      </w:tabs>
    </w:pPr>
    <w:rPr/>
  </w:style>
  <w:style w:type="paragraph" w:styleId="zzLc6">
    <w:name w:val="zzLc6"/>
    <w:basedOn w:val="Normal"/>
    <w:next w:val="Normal"/>
    <w:qFormat/>
    <w:pPr>
      <w:tabs>
        <w:tab w:val="clear" w:pos="709"/>
        <w:tab w:val="left" w:pos="1440" w:leader="none"/>
      </w:tabs>
    </w:pPr>
    <w:rPr/>
  </w:style>
  <w:style w:type="paragraph" w:styleId="Figuretitle">
    <w:name w:val="Figure title"/>
    <w:basedOn w:val="Normal"/>
    <w:next w:val="Normal"/>
    <w:qFormat/>
    <w:pPr>
      <w:suppressAutoHyphens w:val="true"/>
      <w:spacing w:before="220" w:after="220"/>
      <w:jc w:val="center"/>
    </w:pPr>
    <w:rPr>
      <w:b/>
    </w:rPr>
  </w:style>
  <w:style w:type="paragraph" w:styleId="Nadpis">
    <w:name w:val="Nadpis"/>
    <w:basedOn w:val="Normal"/>
    <w:qFormat/>
    <w:pPr/>
    <w:rPr>
      <w:b/>
      <w:caps/>
      <w:sz w:val="28"/>
    </w:rPr>
  </w:style>
  <w:style w:type="paragraph" w:styleId="a2">
    <w:name w:val="a2"/>
    <w:basedOn w:val="Heading2"/>
    <w:next w:val="Normal"/>
    <w:qFormat/>
    <w:pPr>
      <w:keepLines w:val="false"/>
      <w:numPr>
        <w:ilvl w:val="0"/>
        <w:numId w:val="0"/>
      </w:numPr>
      <w:tabs>
        <w:tab w:val="clear" w:pos="709"/>
        <w:tab w:val="left" w:pos="360" w:leader="none"/>
        <w:tab w:val="left" w:pos="500" w:leader="none"/>
        <w:tab w:val="left" w:pos="720" w:leader="none"/>
      </w:tabs>
      <w:spacing w:lineRule="exact" w:line="270" w:before="270" w:after="240"/>
      <w:outlineLvl w:val="9"/>
    </w:pPr>
    <w:rPr>
      <w:rFonts w:eastAsia="MS Mincho;ＭＳ 明朝"/>
      <w:sz w:val="24"/>
      <w:lang w:val="en-GB" w:eastAsia="ja-JP"/>
    </w:rPr>
  </w:style>
  <w:style w:type="paragraph" w:styleId="a3">
    <w:name w:val="a3"/>
    <w:basedOn w:val="Heading3"/>
    <w:next w:val="Normal"/>
    <w:qFormat/>
    <w:pPr>
      <w:keepLines w:val="false"/>
      <w:numPr>
        <w:ilvl w:val="0"/>
        <w:numId w:val="0"/>
      </w:numPr>
      <w:tabs>
        <w:tab w:val="clear" w:pos="709"/>
        <w:tab w:val="left" w:pos="640" w:leader="none"/>
        <w:tab w:val="left" w:pos="720" w:leader="none"/>
        <w:tab w:val="left" w:pos="880" w:leader="none"/>
      </w:tabs>
      <w:spacing w:lineRule="exact" w:line="250" w:before="60" w:after="240"/>
      <w:outlineLvl w:val="9"/>
    </w:pPr>
    <w:rPr>
      <w:rFonts w:eastAsia="MS Mincho;ＭＳ 明朝"/>
      <w:sz w:val="22"/>
      <w:lang w:val="en-GB" w:eastAsia="ja-JP"/>
    </w:rPr>
  </w:style>
  <w:style w:type="paragraph" w:styleId="a4">
    <w:name w:val="a4"/>
    <w:basedOn w:val="Heading4"/>
    <w:next w:val="Normal"/>
    <w:qFormat/>
    <w:pPr>
      <w:keepLines w:val="false"/>
      <w:numPr>
        <w:ilvl w:val="0"/>
        <w:numId w:val="0"/>
      </w:numPr>
      <w:tabs>
        <w:tab w:val="clear" w:pos="709"/>
        <w:tab w:val="left" w:pos="880" w:leader="none"/>
        <w:tab w:val="left" w:pos="1080" w:leader="none"/>
      </w:tabs>
      <w:spacing w:lineRule="exact" w:line="230" w:before="60" w:after="240"/>
      <w:outlineLvl w:val="9"/>
    </w:pPr>
    <w:rPr>
      <w:rFonts w:eastAsia="MS Mincho;ＭＳ 明朝"/>
      <w:lang w:val="en-GB" w:eastAsia="ja-JP"/>
    </w:rPr>
  </w:style>
  <w:style w:type="paragraph" w:styleId="a5">
    <w:name w:val="a5"/>
    <w:basedOn w:val="Heading5"/>
    <w:next w:val="Normal"/>
    <w:qFormat/>
    <w:pPr>
      <w:keepLines w:val="false"/>
      <w:numPr>
        <w:ilvl w:val="0"/>
        <w:numId w:val="0"/>
      </w:numPr>
      <w:tabs>
        <w:tab w:val="clear" w:pos="709"/>
        <w:tab w:val="left" w:pos="1080" w:leader="none"/>
        <w:tab w:val="left" w:pos="1140" w:leader="none"/>
        <w:tab w:val="left" w:pos="1360" w:leader="none"/>
      </w:tabs>
      <w:spacing w:lineRule="exact" w:line="230" w:before="60" w:after="240"/>
      <w:outlineLvl w:val="9"/>
    </w:pPr>
    <w:rPr>
      <w:rFonts w:eastAsia="MS Mincho;ＭＳ 明朝"/>
      <w:lang w:val="en-GB" w:eastAsia="ja-JP"/>
    </w:rPr>
  </w:style>
  <w:style w:type="paragraph" w:styleId="a6">
    <w:name w:val="a6"/>
    <w:basedOn w:val="Heading6"/>
    <w:next w:val="Normal"/>
    <w:qFormat/>
    <w:pPr>
      <w:keepLines w:val="false"/>
      <w:numPr>
        <w:ilvl w:val="0"/>
        <w:numId w:val="0"/>
      </w:numPr>
      <w:tabs>
        <w:tab w:val="clear" w:pos="709"/>
        <w:tab w:val="left" w:pos="1140" w:leader="none"/>
        <w:tab w:val="left" w:pos="1360" w:leader="none"/>
        <w:tab w:val="left" w:pos="1440" w:leader="none"/>
      </w:tabs>
      <w:spacing w:lineRule="exact" w:line="230" w:before="60" w:after="240"/>
      <w:outlineLvl w:val="9"/>
    </w:pPr>
    <w:rPr>
      <w:rFonts w:eastAsia="MS Mincho;ＭＳ 明朝"/>
      <w:lang w:val="en-GB" w:eastAsia="ja-JP"/>
    </w:rPr>
  </w:style>
  <w:style w:type="paragraph" w:styleId="ANNEX">
    <w:name w:val="ANNEX"/>
    <w:basedOn w:val="Normal"/>
    <w:next w:val="Normal"/>
    <w:qFormat/>
    <w:pPr>
      <w:keepNext w:val="true"/>
      <w:pageBreakBefore/>
      <w:spacing w:lineRule="exact" w:line="310" w:before="0" w:after="760"/>
      <w:jc w:val="center"/>
      <w:outlineLvl w:val="0"/>
    </w:pPr>
    <w:rPr>
      <w:b/>
      <w:sz w:val="28"/>
    </w:rPr>
  </w:style>
  <w:style w:type="paragraph" w:styleId="Definition">
    <w:name w:val="Definition"/>
    <w:basedOn w:val="Normal"/>
    <w:next w:val="Normal"/>
    <w:qFormat/>
    <w:pPr/>
    <w:rPr/>
  </w:style>
  <w:style w:type="paragraph" w:styleId="Note">
    <w:name w:val="Note"/>
    <w:basedOn w:val="Normal"/>
    <w:next w:val="Normal"/>
    <w:qFormat/>
    <w:pPr>
      <w:tabs>
        <w:tab w:val="clear" w:pos="709"/>
        <w:tab w:val="left" w:pos="960" w:leader="none"/>
      </w:tabs>
      <w:spacing w:lineRule="atLeast" w:line="210"/>
    </w:pPr>
    <w:rPr>
      <w:sz w:val="18"/>
    </w:rPr>
  </w:style>
  <w:style w:type="paragraph" w:styleId="Terms">
    <w:name w:val="Term(s)"/>
    <w:basedOn w:val="Normal"/>
    <w:next w:val="Definition"/>
    <w:qFormat/>
    <w:pPr>
      <w:keepNext w:val="true"/>
      <w:suppressAutoHyphens w:val="true"/>
    </w:pPr>
    <w:rPr>
      <w:b/>
    </w:rPr>
  </w:style>
  <w:style w:type="paragraph" w:styleId="TermNum">
    <w:name w:val="TermNum"/>
    <w:basedOn w:val="Normal"/>
    <w:next w:val="Terms"/>
    <w:qFormat/>
    <w:pPr>
      <w:keepNext w:val="true"/>
    </w:pPr>
    <w:rPr>
      <w:b/>
    </w:rPr>
  </w:style>
  <w:style w:type="paragraph" w:styleId="Tabletitle">
    <w:name w:val="Table title"/>
    <w:basedOn w:val="Normal"/>
    <w:next w:val="Normal"/>
    <w:qFormat/>
    <w:pPr>
      <w:keepNext w:val="true"/>
      <w:suppressAutoHyphens w:val="true"/>
      <w:spacing w:lineRule="exact" w:line="230" w:before="120" w:after="120"/>
      <w:jc w:val="center"/>
    </w:pPr>
    <w:rPr>
      <w:rFonts w:eastAsia="MS Mincho;ＭＳ 明朝"/>
      <w:b/>
      <w:lang w:val="en-GB" w:eastAsia="ja-JP"/>
    </w:rPr>
  </w:style>
  <w:style w:type="paragraph" w:styleId="Tabletext10">
    <w:name w:val="Table text (10)"/>
    <w:basedOn w:val="Normal"/>
    <w:qFormat/>
    <w:pPr>
      <w:spacing w:lineRule="atLeast" w:line="230" w:before="60" w:after="60"/>
      <w:jc w:val="both"/>
    </w:pPr>
    <w:rPr>
      <w:rFonts w:eastAsia="MS Mincho;ＭＳ 明朝"/>
      <w:lang w:val="en-GB" w:eastAsia="ja-JP"/>
    </w:rPr>
  </w:style>
  <w:style w:type="paragraph" w:styleId="Tabelle">
    <w:name w:val="Tabelle"/>
    <w:basedOn w:val="BodyText"/>
    <w:qFormat/>
    <w:pPr>
      <w:tabs>
        <w:tab w:val="clear" w:pos="709"/>
        <w:tab w:val="left" w:pos="6946" w:leader="none"/>
      </w:tabs>
      <w:spacing w:before="60" w:after="60"/>
    </w:pPr>
    <w:rPr>
      <w:rFonts w:cs="Arial"/>
      <w:lang w:val="en-GB"/>
    </w:rPr>
  </w:style>
  <w:style w:type="paragraph" w:styleId="TabelleKopf">
    <w:name w:val="Tabelle Kopf"/>
    <w:basedOn w:val="Tabelle"/>
    <w:next w:val="Tabelle"/>
    <w:qFormat/>
    <w:pPr/>
    <w:rPr>
      <w:b/>
      <w:bCs/>
    </w:rPr>
  </w:style>
  <w:style w:type="paragraph" w:styleId="Tabletext8">
    <w:name w:val="Table text (8)"/>
    <w:basedOn w:val="Normal"/>
    <w:qFormat/>
    <w:pPr>
      <w:spacing w:lineRule="atLeast" w:line="190" w:before="60" w:after="60"/>
      <w:jc w:val="both"/>
    </w:pPr>
    <w:rPr>
      <w:rFonts w:eastAsia="MS Mincho;ＭＳ 明朝"/>
      <w:sz w:val="16"/>
      <w:lang w:val="en-GB" w:eastAsia="ja-JP"/>
    </w:rPr>
  </w:style>
  <w:style w:type="paragraph" w:styleId="zzLn5">
    <w:name w:val="zzLn5"/>
    <w:basedOn w:val="Normal"/>
    <w:next w:val="Normal"/>
    <w:qFormat/>
    <w:pPr>
      <w:tabs>
        <w:tab w:val="clear" w:pos="709"/>
        <w:tab w:val="left" w:pos="3240" w:leader="none"/>
      </w:tabs>
      <w:spacing w:lineRule="atLeast" w:line="230" w:before="0" w:after="240"/>
    </w:pPr>
    <w:rPr>
      <w:rFonts w:eastAsia="MS Mincho;ＭＳ 明朝"/>
      <w:lang w:val="en-GB" w:eastAsia="ja-JP"/>
    </w:rPr>
  </w:style>
  <w:style w:type="paragraph" w:styleId="zzLn6">
    <w:name w:val="zzLn6"/>
    <w:basedOn w:val="Normal"/>
    <w:next w:val="Normal"/>
    <w:qFormat/>
    <w:pPr>
      <w:tabs>
        <w:tab w:val="clear" w:pos="709"/>
        <w:tab w:val="left" w:pos="3960" w:leader="none"/>
      </w:tabs>
      <w:spacing w:lineRule="atLeast" w:line="230" w:before="0" w:after="240"/>
    </w:pPr>
    <w:rPr>
      <w:rFonts w:eastAsia="MS Mincho;ＭＳ 明朝"/>
      <w:lang w:val="en-GB" w:eastAsia="ja-JP"/>
    </w:rPr>
  </w:style>
  <w:style w:type="paragraph" w:styleId="Example">
    <w:name w:val="Example"/>
    <w:basedOn w:val="Normal"/>
    <w:next w:val="Normal"/>
    <w:qFormat/>
    <w:pPr>
      <w:tabs>
        <w:tab w:val="clear" w:pos="709"/>
        <w:tab w:val="left" w:pos="1360" w:leader="none"/>
      </w:tabs>
      <w:spacing w:lineRule="atLeast" w:line="210" w:before="0" w:after="240"/>
      <w:jc w:val="both"/>
    </w:pPr>
    <w:rPr>
      <w:rFonts w:eastAsia="MS Mincho;ＭＳ 明朝"/>
      <w:sz w:val="18"/>
      <w:lang w:val="en-GB" w:eastAsia="ja-JP"/>
    </w:rPr>
  </w:style>
  <w:style w:type="paragraph" w:styleId="H6">
    <w:name w:val="H6"/>
    <w:basedOn w:val="Heading5"/>
    <w:next w:val="Normal"/>
    <w:qFormat/>
    <w:pPr>
      <w:numPr>
        <w:ilvl w:val="0"/>
        <w:numId w:val="0"/>
      </w:numPr>
      <w:suppressAutoHyphens w:val="false"/>
      <w:overflowPunct w:val="false"/>
      <w:autoSpaceDE w:val="false"/>
      <w:spacing w:before="120" w:after="180"/>
      <w:ind w:hanging="1985" w:start="1985" w:end="0"/>
      <w:textAlignment w:val="baseline"/>
      <w:outlineLvl w:val="9"/>
    </w:pPr>
    <w:rPr>
      <w:b w:val="false"/>
      <w:lang w:val="en-GB"/>
    </w:rPr>
  </w:style>
  <w:style w:type="paragraph" w:styleId="TAL">
    <w:name w:val="TAL"/>
    <w:basedOn w:val="Normal"/>
    <w:qFormat/>
    <w:pPr>
      <w:keepNext w:val="true"/>
      <w:keepLines/>
      <w:overflowPunct w:val="false"/>
      <w:autoSpaceDE w:val="false"/>
      <w:textAlignment w:val="baseline"/>
    </w:pPr>
    <w:rPr>
      <w:sz w:val="18"/>
      <w:lang w:val="en-GB"/>
    </w:rPr>
  </w:style>
  <w:style w:type="paragraph" w:styleId="TAC">
    <w:name w:val="TAC"/>
    <w:basedOn w:val="TAL"/>
    <w:qFormat/>
    <w:pPr>
      <w:jc w:val="center"/>
    </w:pPr>
    <w:rPr/>
  </w:style>
  <w:style w:type="paragraph" w:styleId="TAH">
    <w:name w:val="TAH"/>
    <w:basedOn w:val="TAC"/>
    <w:qFormat/>
    <w:pPr/>
    <w:rPr>
      <w:b/>
    </w:rPr>
  </w:style>
  <w:style w:type="paragraph" w:styleId="Normal1">
    <w:name w:val="Normal1"/>
    <w:basedOn w:val="Normal"/>
    <w:qFormat/>
    <w:pPr>
      <w:overflowPunct w:val="false"/>
      <w:autoSpaceDE w:val="false"/>
      <w:spacing w:before="0" w:after="180"/>
      <w:textAlignment w:val="baseline"/>
    </w:pPr>
    <w:rPr>
      <w:rFonts w:ascii="Times New Roman" w:hAnsi="Times New Roman" w:cs="Times New Roman"/>
      <w:lang w:val="en-GB"/>
    </w:rPr>
  </w:style>
  <w:style w:type="paragraph" w:styleId="TH">
    <w:name w:val="TH"/>
    <w:basedOn w:val="Normal"/>
    <w:next w:val="Normal"/>
    <w:qFormat/>
    <w:pPr>
      <w:keepNext w:val="true"/>
      <w:keepLines/>
      <w:overflowPunct w:val="false"/>
      <w:autoSpaceDE w:val="false"/>
      <w:spacing w:before="60" w:after="180"/>
      <w:jc w:val="center"/>
      <w:textAlignment w:val="baseline"/>
    </w:pPr>
    <w:rPr>
      <w:b/>
      <w:lang w:val="en-GB" w:eastAsia="en-US"/>
    </w:rPr>
  </w:style>
  <w:style w:type="paragraph" w:styleId="zzBiblio">
    <w:name w:val="zzBiblio"/>
    <w:basedOn w:val="Normal"/>
    <w:next w:val="Normal"/>
    <w:qFormat/>
    <w:pPr>
      <w:pageBreakBefore/>
      <w:spacing w:lineRule="exact" w:line="310" w:before="0" w:after="760"/>
      <w:jc w:val="center"/>
    </w:pPr>
    <w:rPr>
      <w:rFonts w:eastAsia="MS Mincho;ＭＳ 明朝"/>
      <w:b/>
      <w:sz w:val="28"/>
      <w:lang w:val="en-GB" w:eastAsia="ja-JP"/>
    </w:rPr>
  </w:style>
  <w:style w:type="paragraph" w:styleId="Odstavecseseznamem">
    <w:name w:val="Odstavec se seznamem"/>
    <w:basedOn w:val="Normal"/>
    <w:qFormat/>
    <w:pPr>
      <w:widowControl w:val="false"/>
      <w:spacing w:before="0" w:after="0"/>
      <w:ind w:hanging="0" w:start="720" w:end="0"/>
      <w:contextualSpacing/>
    </w:pPr>
    <w:rPr>
      <w:rFonts w:ascii="Times New Roman" w:hAnsi="Times New Roman" w:cs="Times New Roman"/>
      <w:color w:val="000000"/>
    </w:rPr>
  </w:style>
  <w:style w:type="paragraph" w:styleId="Standard">
    <w:name w:val="Standard"/>
    <w:qFormat/>
    <w:pPr>
      <w:widowControl/>
      <w:suppressAutoHyphens w:val="true"/>
      <w:bidi w:val="0"/>
      <w:spacing w:before="0" w:after="120"/>
      <w:jc w:val="both"/>
      <w:textAlignment w:val="baseline"/>
    </w:pPr>
    <w:rPr>
      <w:rFonts w:ascii="Arial" w:hAnsi="Arial" w:eastAsia="Arial" w:cs="Arial"/>
      <w:color w:val="auto"/>
      <w:kern w:val="2"/>
      <w:sz w:val="22"/>
      <w:szCs w:val="22"/>
      <w:lang w:val="cs-CZ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StyleNum">
    <w:name w:val="WW8StyleNum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itsterminology.org/cz/%22kategorie%22" TargetMode="External"/><Relationship Id="rId3" Type="http://schemas.openxmlformats.org/officeDocument/2006/relationships/hyperlink" Target="http://itsterminology.org/cz/%22aplikace%22" TargetMode="External"/><Relationship Id="rId4" Type="http://schemas.openxmlformats.org/officeDocument/2006/relationships/hyperlink" Target="http://itsterminology.org/cz/%22polohy%22" TargetMode="External"/><Relationship Id="rId5" Type="http://schemas.openxmlformats.org/officeDocument/2006/relationships/hyperlink" Target="http://itsterminology.org/cz/%22vozidla%22" TargetMode="External"/><Relationship Id="rId6" Type="http://schemas.openxmlformats.org/officeDocument/2006/relationships/hyperlink" Target="http://itsterminology.org/cz/%22polohy%22" TargetMode="External"/><Relationship Id="rId7" Type="http://schemas.openxmlformats.org/officeDocument/2006/relationships/hyperlink" Target="http://itsterminology.org/cz/%22mapu%22" TargetMode="External"/><Relationship Id="rId8" Type="http://schemas.openxmlformats.org/officeDocument/2006/relationships/hyperlink" Target="http://itsterminology.org/cz/%22adresy%22" TargetMode="External"/><Relationship Id="rId9" Type="http://schemas.openxmlformats.org/officeDocument/2006/relationships/hyperlink" Target="http://itsterminology.org/cz/%22entity%22" TargetMode="External"/><Relationship Id="rId10" Type="http://schemas.openxmlformats.org/officeDocument/2006/relationships/hyperlink" Target="http://itsterminology.org/cz/%22datab&#225;ze%22" TargetMode="External"/><Relationship Id="rId11" Type="http://schemas.openxmlformats.org/officeDocument/2006/relationships/hyperlink" Target="http://itsterminology.org/cz/%22sou&#345;adnic%22" TargetMode="External"/><Relationship Id="rId12" Type="http://schemas.openxmlformats.org/officeDocument/2006/relationships/hyperlink" Target="http://itsterminology.org/cz/%22adresy%22" TargetMode="External"/><Relationship Id="rId13" Type="http://schemas.openxmlformats.org/officeDocument/2006/relationships/hyperlink" Target="http://itsterminology.org/cz/%22&#250;seku%22" TargetMode="External"/><Relationship Id="rId14" Type="http://schemas.openxmlformats.org/officeDocument/2006/relationships/hyperlink" Target="http://itsterminology.org/cz/%22kategorie%22" TargetMode="External"/><Relationship Id="rId15" Type="http://schemas.openxmlformats.org/officeDocument/2006/relationships/hyperlink" Target="http://itsterminology.org/cz/%22aplikace%22" TargetMode="External"/><Relationship Id="rId16" Type="http://schemas.openxmlformats.org/officeDocument/2006/relationships/hyperlink" Target="http://itsterminology.org/cz/%22r&#225;mci%22" TargetMode="External"/><Relationship Id="rId17" Type="http://schemas.openxmlformats.org/officeDocument/2006/relationships/hyperlink" Target="http://itsterminology.org/cz/%22entita%22" TargetMode="External"/><Relationship Id="rId18" Type="http://schemas.openxmlformats.org/officeDocument/2006/relationships/hyperlink" Target="http://itsterminology.org/cz/%22datov&#233;ho%20modelu%22" TargetMode="External"/><Relationship Id="rId19" Type="http://schemas.openxmlformats.org/officeDocument/2006/relationships/hyperlink" Target="http://itsterminology.org/cz/%22naviga&#269;n&#237;%20geoprvek%22" TargetMode="External"/><Relationship Id="rId20" Type="http://schemas.openxmlformats.org/officeDocument/2006/relationships/hyperlink" Target="http://itsterminology.org/cz/%22propojen&#237;%22" TargetMode="External"/><Relationship Id="rId21" Type="http://schemas.openxmlformats.org/officeDocument/2006/relationships/hyperlink" Target="http://itsterminology.org/cz/%22k&#345;&#237;&#382;en&#237;%22" TargetMode="External"/><Relationship Id="rId22" Type="http://schemas.openxmlformats.org/officeDocument/2006/relationships/hyperlink" Target="http://itsterminology.org/cz/%22naviga&#269;n&#237;%20geoprvek%22" TargetMode="External"/><Relationship Id="rId23" Type="http://schemas.openxmlformats.org/officeDocument/2006/relationships/hyperlink" Target="http://itsterminology.org/cz/%22uzl&#367;%22" TargetMode="External"/><Relationship Id="rId24" Type="http://schemas.openxmlformats.org/officeDocument/2006/relationships/hyperlink" Target="http://itsterminology.org/cz/%22m&#237;st%22" TargetMode="External"/><Relationship Id="rId25" Type="http://schemas.openxmlformats.org/officeDocument/2006/relationships/image" Target="media/image1.png"/><Relationship Id="rId26" Type="http://schemas.openxmlformats.org/officeDocument/2006/relationships/image" Target="media/image2.png"/><Relationship Id="rId27" Type="http://schemas.openxmlformats.org/officeDocument/2006/relationships/image" Target="media/image3.png"/><Relationship Id="rId28" Type="http://schemas.openxmlformats.org/officeDocument/2006/relationships/footer" Target="footer1.xml"/><Relationship Id="rId29" Type="http://schemas.openxmlformats.org/officeDocument/2006/relationships/footer" Target="footer2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Normy15f.dot</Template>
  <TotalTime>36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2017-04-28T14:36:00Z</dcterms:created>
  <dc:creator>Koutska Mila</dc:creator>
  <dc:description/>
  <dc:language>en-US</dc:language>
  <cp:lastModifiedBy>LenS</cp:lastModifiedBy>
  <cp:lastPrinted>2017-02-17T15:02:00Z</cp:lastPrinted>
  <dcterms:modified xsi:type="dcterms:W3CDTF">2017-04-28T15:11:00Z</dcterms:modified>
  <cp:revision>5</cp:revision>
  <dc:subject/>
  <dc:title>1996</dc:title>
</cp:coreProperties>
</file>