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sknorma"/>
        <w:rPr/>
      </w:pPr>
      <w:r>
        <w:rPr/>
      </w:r>
    </w:p>
    <w:p>
      <w:pPr>
        <w:pStyle w:val="1Str1Rad"/>
        <w:tabs>
          <w:tab w:val="clear" w:pos="7371"/>
          <w:tab w:val="left" w:pos="7080" w:leader="none"/>
        </w:tabs>
        <w:spacing w:before="0" w:after="60"/>
        <w:jc w:val="center"/>
        <w:rPr>
          <w:b/>
          <w:sz w:val="40"/>
          <w:szCs w:val="40"/>
        </w:rPr>
      </w:pPr>
      <w:r>
        <w:rPr>
          <w:b/>
          <w:sz w:val="40"/>
          <w:szCs w:val="40"/>
        </w:rPr>
        <w:t>EXTRAKT z české technické normy</w:t>
      </w:r>
    </w:p>
    <w:p>
      <w:pPr>
        <w:pStyle w:val="esknorma"/>
        <w:spacing w:before="0" w:after="60"/>
        <w:rPr>
          <w:b/>
          <w:sz w:val="20"/>
        </w:rPr>
      </w:pPr>
      <w:r>
        <w:rPr/>
        <w:t>Extrakt nenahrazuje samotnou technickou normu, je pouze informativním materiálem o normě.</w:t>
      </w:r>
    </w:p>
    <w:tbl>
      <w:tblPr>
        <w:tblW w:w="9923" w:type="dxa"/>
        <w:jc w:val="start"/>
        <w:tblInd w:w="0" w:type="dxa"/>
        <w:tblLayout w:type="fixed"/>
        <w:tblCellMar>
          <w:top w:w="0" w:type="dxa"/>
          <w:start w:w="0" w:type="dxa"/>
          <w:bottom w:w="0" w:type="dxa"/>
          <w:end w:w="0" w:type="dxa"/>
        </w:tblCellMar>
      </w:tblPr>
      <w:tblGrid>
        <w:gridCol w:w="7371"/>
        <w:gridCol w:w="2552"/>
      </w:tblGrid>
      <w:tr>
        <w:trPr>
          <w:trHeight w:val="1701" w:hRule="atLeast"/>
          <w:cantSplit/>
        </w:trPr>
        <w:tc>
          <w:tcPr>
            <w:tcW w:w="7371" w:type="dxa"/>
            <w:tcBorders>
              <w:top w:val="single" w:sz="12" w:space="0" w:color="000000"/>
              <w:bottom w:val="single" w:sz="12" w:space="0" w:color="000000"/>
            </w:tcBorders>
          </w:tcPr>
          <w:p>
            <w:pPr>
              <w:pStyle w:val="1StrNN-4-4"/>
              <w:spacing w:before="340" w:after="0"/>
              <w:rPr>
                <w:szCs w:val="28"/>
              </w:rPr>
            </w:pPr>
            <w:r>
              <w:rPr/>
              <w:t xml:space="preserve">Inteligentní dopravní systémy – Automatická identifikace vozidel, zařízení a nákladů – </w:t>
              <w:br/>
              <w:t>Základní identifikace elektronické registrace (ERI)</w:t>
            </w:r>
          </w:p>
        </w:tc>
        <w:tc>
          <w:tcPr>
            <w:tcW w:w="2552" w:type="dxa"/>
            <w:tcBorders>
              <w:top w:val="single" w:sz="12" w:space="0" w:color="000000"/>
              <w:bottom w:val="single" w:sz="12" w:space="0" w:color="000000"/>
            </w:tcBorders>
          </w:tcPr>
          <w:p>
            <w:pPr>
              <w:pStyle w:val="1StrCN"/>
              <w:snapToGrid w:val="false"/>
              <w:spacing w:before="180" w:after="0"/>
              <w:rPr/>
            </w:pPr>
            <w:r>
              <w:rPr>
                <w:szCs w:val="28"/>
              </w:rPr>
            </w:r>
          </w:p>
          <w:p>
            <w:pPr>
              <w:pStyle w:val="1StrCN"/>
              <w:rPr>
                <w:b w:val="false"/>
              </w:rPr>
            </w:pPr>
            <w:r>
              <w:rPr/>
              <w:t>ČSN ISO 24535</w:t>
              <w:br/>
              <w:t xml:space="preserve"> </w:t>
            </w:r>
          </w:p>
          <w:p>
            <w:pPr>
              <w:pStyle w:val="1StrTrZn"/>
              <w:spacing w:before="80" w:after="80"/>
              <w:rPr/>
            </w:pPr>
            <w:r>
              <w:rPr/>
              <w:t>01 8345</w:t>
            </w:r>
          </w:p>
        </w:tc>
      </w:tr>
    </w:tbl>
    <w:p>
      <w:pPr>
        <w:pStyle w:val="Shodnost"/>
        <w:tabs>
          <w:tab w:val="clear" w:pos="9923"/>
          <w:tab w:val="left" w:pos="7088" w:leader="none"/>
          <w:tab w:val="right" w:pos="9072" w:leader="none"/>
          <w:tab w:val="left" w:pos="10490" w:leader="none"/>
        </w:tabs>
        <w:jc w:val="end"/>
        <w:rPr/>
      </w:pPr>
      <w:r>
        <w:rPr/>
        <w:t xml:space="preserve">Vydána 2007, 15 stran</w:t>
      </w:r>
    </w:p>
    <w:p>
      <w:pPr>
        <w:pStyle w:val="Heading1"/>
        <w:ind w:hanging="0" w:start="0"/>
        <w:rPr>
          <w:sz w:val="20"/>
        </w:rPr>
      </w:pPr>
      <w:r>
        <w:rPr>
          <w:rFonts w:eastAsia="Arial"/>
        </w:rPr>
        <w:t>Úvod</w:t>
      </w:r>
    </w:p>
    <w:p>
      <w:pPr>
        <w:pStyle w:val="Textnormy"/>
        <w:rPr/>
      </w:pPr>
      <w:r>
        <w:rPr>
          <w:rFonts w:eastAsia="Arial"/>
        </w:rPr>
        <w:t xml:space="preserve">Tato norma zavádí jednoduchý systém pro „základní identifikaci elektronické registrace” („základní ERI”) v rámci inteligentních dopravních systémů. Systém „základní ERI“ je definován se zabezpečením přiměřeným informaci, která je v současné době dostupná manuálně (jako je SPZ a/nebo data VIN). Tato mezinárodní norma nemá za ú čel poskytovat vysoké úrovně bezpečnosti, autentizace a důvěryhodnosti požadované pro některé administrativní úkony (pro takové, vyžadující vysoce zabezpečené systémy se všemi hlavními charakteristikami, se doporučuje postupovat podle EN ISO 24534-4 nebo EN ISO 24534-5).</w:t>
      </w:r>
    </w:p>
    <w:p>
      <w:pPr>
        <w:pStyle w:val="Textnormy"/>
        <w:rPr/>
      </w:pPr>
      <w:r>
        <w:rPr>
          <w:rFonts w:eastAsia="Arial"/>
        </w:rPr>
        <w:t>Ve své nejzákladnější formě „základní ERI“ jednoduše poskytuje jedinečnou identifikaci vozidla. Nicméně koncept „základní ERI“ umožňuje i přenos dodatečných dat souvisejících s aplikací.</w:t>
      </w:r>
    </w:p>
    <w:p>
      <w:pPr>
        <w:pStyle w:val="Textnormy"/>
        <w:rPr/>
      </w:pPr>
      <w:r>
        <w:rPr>
          <w:rFonts w:eastAsia="Arial"/>
        </w:rPr>
        <w:t xml:space="preserve">Poznámka: Extrakt uvádí vybrané kapitoly popisovaného dokumentu a přejímá původní číslování kapitol.</w:t>
      </w:r>
    </w:p>
    <w:p>
      <w:pPr>
        <w:pStyle w:val="Heading1"/>
        <w:ind w:hanging="0" w:start="0"/>
        <w:rPr>
          <w:sz w:val="20"/>
        </w:rPr>
      </w:pPr>
      <w:r>
        <w:rPr>
          <w:rFonts w:eastAsia="Arial"/>
        </w:rPr>
        <w:t>Užití</w:t>
      </w:r>
    </w:p>
    <w:p>
      <w:pPr>
        <w:pStyle w:val="Textnormy"/>
        <w:rPr/>
      </w:pPr>
      <w:r>
        <w:rPr>
          <w:rFonts w:eastAsia="Arial"/>
        </w:rPr>
        <w:t xml:space="preserve">Tato norma vznikla z důvodu rychlého zavedení standardizovaného systému ERI. Popisuje základní požadavky na systém a umožňuje jej tak implementovat. </w:t>
      </w:r>
      <w:r>
        <w:rPr>
          <w:rFonts w:eastAsia="Arial"/>
          <w:b/>
          <w:bCs/>
        </w:rPr>
        <w:t>„Základní ERI“ je aplikací, která</w:t>
      </w:r>
      <w:r>
        <w:rPr>
          <w:rFonts w:eastAsia="Arial"/>
        </w:rPr>
        <w:t xml:space="preserve"> </w:t>
      </w:r>
      <w:r>
        <w:rPr>
          <w:rFonts w:eastAsia="Arial"/>
          <w:b/>
          <w:bCs/>
        </w:rPr>
        <w:t xml:space="preserve">samostatně umožňuje jednoduchou elektronickou identifikaci vozidel. </w:t>
      </w:r>
      <w:r>
        <w:rPr>
          <w:rFonts w:eastAsia="Arial"/>
        </w:rPr>
        <w:t>Další normy, které se ERI</w:t>
      </w:r>
      <w:r>
        <w:rPr>
          <w:rFonts w:eastAsia="Arial"/>
          <w:b/>
          <w:bCs/>
        </w:rPr>
        <w:t xml:space="preserve"> </w:t>
      </w:r>
      <w:r>
        <w:rPr>
          <w:rFonts w:eastAsia="Arial"/>
        </w:rPr>
        <w:t>týkají, popisují složitější aspekty systému ERI, komplexnější tagy, bezpečnější komunikaci, atd.</w:t>
      </w:r>
    </w:p>
    <w:p>
      <w:pPr>
        <w:pStyle w:val="Textnormy"/>
        <w:rPr/>
      </w:pPr>
      <w:r>
        <w:rPr>
          <w:rFonts w:eastAsia="Arial"/>
          <w:sz w:val="19"/>
          <w:szCs w:val="19"/>
        </w:rPr>
        <w:t>„</w:t>
      </w:r>
      <w:r>
        <w:rPr>
          <w:rFonts w:eastAsia="Arial"/>
          <w:sz w:val="19"/>
          <w:szCs w:val="19"/>
        </w:rPr>
        <w:t xml:space="preserve">Základní ERI“ je </w:t>
      </w:r>
      <w:r>
        <w:rPr>
          <w:rFonts w:eastAsia="Arial"/>
          <w:sz w:val="19"/>
          <w:szCs w:val="19"/>
          <w:u w:val="single"/>
        </w:rPr>
        <w:t>jednoduchým</w:t>
      </w:r>
      <w:r>
        <w:rPr>
          <w:rFonts w:eastAsia="Arial"/>
          <w:sz w:val="19"/>
          <w:szCs w:val="19"/>
        </w:rPr>
        <w:t xml:space="preserve"> prostředkem k jedinečné identifikaci vozidel využívajícím systém, který lze zavést při minimálních nákladech. Široce používaná aplikace „základního ERI“ nabízí významné přínosy u stávajících manuálních technologií identifikace vozidel. „Základní ERI“ odpovídá na potřebu, </w:t>
      </w:r>
      <w:r>
        <w:rPr>
          <w:rFonts w:eastAsia="Arial"/>
          <w:b/>
          <w:bCs/>
          <w:sz w:val="19"/>
          <w:szCs w:val="19"/>
        </w:rPr>
        <w:t xml:space="preserve">orgánů státní správy </w:t>
      </w:r>
      <w:r>
        <w:rPr>
          <w:rFonts w:eastAsia="Arial"/>
          <w:sz w:val="19"/>
          <w:szCs w:val="19"/>
        </w:rPr>
        <w:t>a</w:t>
      </w:r>
      <w:r>
        <w:rPr>
          <w:rFonts w:eastAsia="Arial"/>
          <w:b/>
          <w:bCs/>
          <w:sz w:val="19"/>
          <w:szCs w:val="19"/>
        </w:rPr>
        <w:t xml:space="preserve"> jiných uživatelů</w:t>
      </w:r>
      <w:r>
        <w:rPr>
          <w:rFonts w:eastAsia="Arial"/>
          <w:sz w:val="19"/>
          <w:szCs w:val="19"/>
        </w:rPr>
        <w:t>, jednoduché elektronické identifikací cestujících vozidel.</w:t>
      </w:r>
    </w:p>
    <w:p>
      <w:pPr>
        <w:pStyle w:val="Textnormy"/>
        <w:rPr/>
      </w:pPr>
      <w:r>
        <w:rPr>
          <w:rFonts w:eastAsia="Arial"/>
        </w:rPr>
        <w:t xml:space="preserve">Data identifikace vždy zahrnují jedinečný identifikátor vozidla a také mohou obsahovat jiná data běžně se vyskytující v certifikátu registrace vozidla a další data spojená s konkrétními aplikacemi.</w:t>
      </w:r>
    </w:p>
    <w:p>
      <w:pPr>
        <w:pStyle w:val="Heading1"/>
        <w:ind w:hanging="0" w:start="0"/>
        <w:rPr>
          <w:sz w:val="20"/>
        </w:rPr>
      </w:pPr>
      <w:r>
        <w:rPr>
          <w:rFonts w:eastAsia="Arial"/>
        </w:rPr>
        <w:t xml:space="preserve">1 Předmět normy</w:t>
      </w:r>
      <w:r>
        <w:rPr/>
        <w:t/>
      </w:r>
      <w:r>
        <w:rPr>
          <w:rFonts w:eastAsia="Arial"/>
        </w:rPr>
        <w:t/>
      </w:r>
    </w:p>
    <w:p>
      <w:pPr>
        <w:pStyle w:val="Textnormy"/>
        <w:rPr/>
      </w:pPr>
      <w:r>
        <w:rPr>
          <w:rFonts w:eastAsia="Arial"/>
        </w:rPr>
        <w:t>Tato norma podporuje jednoduché systémy pro „základní identifikaci elektronické registrace“ („základní ERI“) pro použití v aplikacích inteligentních dopravních systémů. Stanovuje:</w:t>
      </w:r>
    </w:p>
    <w:p>
      <w:pPr>
        <w:pStyle w:val="Seznamsodrkami4"/>
        <w:numPr>
          <w:ilvl w:val="0"/>
          <w:numId w:val="7"/>
        </w:numPr>
        <w:tabs>
          <w:tab w:val="clear" w:pos="709"/>
          <w:tab w:val="left" w:pos="567" w:leader="none"/>
        </w:tabs>
        <w:ind w:hanging="0" w:start="284" w:end="0"/>
        <w:rPr>
          <w:rFonts w:ascii="Symbol" w:hAnsi="Symbol" w:eastAsia="Symbol" w:cs="Symbol"/>
        </w:rPr>
      </w:pPr>
      <w:r>
        <w:rPr>
          <w:rFonts w:eastAsia="Arial"/>
        </w:rPr>
        <w:t>skladbu jedinečného identifikátoru vozidla použitého pro určení identity;</w:t>
      </w:r>
    </w:p>
    <w:p>
      <w:pPr>
        <w:pStyle w:val="Seznamsodrkami4"/>
        <w:numPr>
          <w:ilvl w:val="0"/>
          <w:numId w:val="7"/>
        </w:numPr>
        <w:tabs>
          <w:tab w:val="clear" w:pos="709"/>
          <w:tab w:val="left" w:pos="567" w:leader="none"/>
        </w:tabs>
        <w:ind w:hanging="0" w:start="284" w:end="0"/>
        <w:rPr>
          <w:rFonts w:ascii="Symbol" w:hAnsi="Symbol" w:eastAsia="Symbol" w:cs="Symbol"/>
        </w:rPr>
      </w:pPr>
      <w:r>
        <w:rPr>
          <w:rFonts w:eastAsia="Arial"/>
        </w:rPr>
        <w:t>funkční možnosti a výkonnostní třídy systému základní identifikace elektronické registrace, pro různé ITS aplikace; a</w:t>
      </w:r>
    </w:p>
    <w:p>
      <w:pPr>
        <w:pStyle w:val="Seznamsodrkami4"/>
        <w:numPr>
          <w:ilvl w:val="0"/>
          <w:numId w:val="7"/>
        </w:numPr>
        <w:tabs>
          <w:tab w:val="clear" w:pos="709"/>
          <w:tab w:val="left" w:pos="567" w:leader="none"/>
        </w:tabs>
        <w:ind w:hanging="0" w:start="284" w:end="0"/>
        <w:rPr>
          <w:rFonts w:ascii="Symbol" w:hAnsi="Symbol" w:eastAsia="Symbol" w:cs="Symbol"/>
        </w:rPr>
      </w:pPr>
      <w:r>
        <w:rPr>
          <w:rFonts w:eastAsia="Arial"/>
        </w:rPr>
        <w:t>požadavky na minimální datovou interoperabilitu mezi zařízením základní identifikace elektronické registrace ve vozidle (ETR – „tag“ elektronické registrace) a na straně infrastruktury (ERR – čtečka elektronické registrace).</w:t>
      </w:r>
    </w:p>
    <w:p>
      <w:pPr>
        <w:pStyle w:val="Textnormy"/>
        <w:rPr/>
      </w:pPr>
      <w:r>
        <w:rPr>
          <w:rFonts w:eastAsia="Arial"/>
        </w:rPr>
        <w:t xml:space="preserve">Tato norma navíc umožňuje, </w:t>
      </w:r>
      <w:r>
        <w:rPr>
          <w:rFonts w:eastAsia="Arial"/>
          <w:u w:val="single"/>
        </w:rPr>
        <w:t xml:space="preserve">ale nevyžaduje,</w:t>
      </w:r>
      <w:r>
        <w:rPr>
          <w:rFonts w:eastAsia="Arial"/>
        </w:rPr>
        <w:t xml:space="preserve"> uložení doplňkových dat o vozidle vztažených k jedinečnému identifikátoru vozidla. Je konzistentní s architekturou ERI specifikovanou v EN ISO 24534-1</w:t>
      </w:r>
      <w:bookmarkStart w:id="0" w:name="page2"/>
      <w:bookmarkEnd w:id="0"/>
      <w:r>
        <w:rPr/>
        <w:t xml:space="preserve"> </w:t>
      </w:r>
      <w:r>
        <w:rPr>
          <w:rFonts w:eastAsia="Arial"/>
        </w:rPr>
        <w:t xml:space="preserve">a s datovou koncepcí stanovenou v EN ISO 24534-3, ale nemusí spolupracovat s pokročilými (plně vybavenými) komunikačními systémy ERI uvedenými v EN ISO 24534-4 nebo EN ISO 24534-5.</w:t>
      </w:r>
    </w:p>
    <w:p>
      <w:pPr>
        <w:pStyle w:val="Textnormy"/>
        <w:rPr/>
      </w:pPr>
      <w:r>
        <w:rPr>
          <w:rFonts w:eastAsia="Arial"/>
        </w:rPr>
        <w:t>Specifikuje systém „základní ERI” s bezpečností adekvátní pro informace, které jsou nyní k dispozici manuálně (jako je registrační značka (RZ) a/nebo VIN data). To ale neznamená, že poskytuje vyšší úroveň bezpečnosti požadované pro některé administrativní potřeby. Systémy vyžadující vyšší zabezpečení se mají řídit příslušnými částmi EN ISO 24534. Přestože to není součástí této normy, technologie podporující tuto normu mohou pro specifické aplikace použít další nestandardní bezpečnostní opatření.</w:t>
      </w:r>
    </w:p>
    <w:p>
      <w:pPr>
        <w:pStyle w:val="Textnormy"/>
        <w:rPr/>
      </w:pPr>
      <w:r>
        <w:rPr>
          <w:rFonts w:eastAsia="Arial"/>
        </w:rPr>
        <w:t>Předmět této normy je omezen na:</w:t>
      </w:r>
    </w:p>
    <w:p>
      <w:pPr>
        <w:pStyle w:val="Seznamsodrkami4"/>
        <w:numPr>
          <w:ilvl w:val="0"/>
          <w:numId w:val="7"/>
        </w:numPr>
        <w:tabs>
          <w:tab w:val="clear" w:pos="709"/>
          <w:tab w:val="left" w:pos="567" w:leader="none"/>
        </w:tabs>
        <w:ind w:hanging="0" w:start="284" w:end="0"/>
        <w:rPr>
          <w:rFonts w:ascii="Symbol" w:hAnsi="Symbol" w:eastAsia="Symbol" w:cs="Symbol"/>
        </w:rPr>
      </w:pPr>
      <w:r>
        <w:rPr>
          <w:rFonts w:eastAsia="Arial"/>
        </w:rPr>
        <w:t>požadavek na používání standardního radiového rozhraní s veřejně dostupnými protokoly;</w:t>
      </w:r>
    </w:p>
    <w:p>
      <w:pPr>
        <w:pStyle w:val="Seznamsodrkami4"/>
        <w:numPr>
          <w:ilvl w:val="0"/>
          <w:numId w:val="7"/>
        </w:numPr>
        <w:tabs>
          <w:tab w:val="clear" w:pos="709"/>
          <w:tab w:val="left" w:pos="567" w:leader="none"/>
        </w:tabs>
        <w:ind w:hanging="0" w:start="284" w:end="0"/>
        <w:rPr>
          <w:rFonts w:ascii="Symbol" w:hAnsi="Symbol" w:eastAsia="Symbol" w:cs="Symbol"/>
        </w:rPr>
      </w:pPr>
      <w:r>
        <w:rPr>
          <w:rFonts w:eastAsia="Arial"/>
        </w:rPr>
        <w:t xml:space="preserve">používání datových konceptů konzistentních s EN ISO 24534-3;</w:t>
      </w:r>
    </w:p>
    <w:p>
      <w:pPr>
        <w:pStyle w:val="Seznamsodrkami4"/>
        <w:numPr>
          <w:ilvl w:val="0"/>
          <w:numId w:val="7"/>
        </w:numPr>
        <w:tabs>
          <w:tab w:val="clear" w:pos="709"/>
          <w:tab w:val="left" w:pos="567" w:leader="none"/>
        </w:tabs>
        <w:ind w:hanging="0" w:start="284" w:end="0"/>
        <w:rPr/>
      </w:pPr>
      <w:r>
        <w:rPr>
          <w:rFonts w:eastAsia="Symbol" w:cs="Symbol" w:ascii="Symbol" w:hAnsi="Symbol"/>
        </w:rPr>
        <w:sym w:font="Symbol" w:char="f0b7"/>
      </w:r>
      <w:r>
        <w:rPr/>
        <w:tab/>
      </w:r>
      <w:r>
        <w:rPr>
          <w:rFonts w:eastAsia="Arial"/>
        </w:rPr>
        <w:t>možnost dalšího použití privátních datových koncep</w:t>
      </w:r>
      <w:r>
        <w:rPr>
          <w:rFonts w:eastAsia="Arial"/>
          <w:sz w:val="19"/>
          <w:szCs w:val="19"/>
        </w:rPr>
        <w:t>tů.</w:t>
      </w:r>
    </w:p>
    <w:p>
      <w:pPr>
        <w:pStyle w:val="Heading1"/>
        <w:ind w:hanging="0" w:start="0"/>
        <w:rPr>
          <w:sz w:val="20"/>
        </w:rPr>
      </w:pPr>
      <w:r>
        <w:rPr>
          <w:rFonts w:eastAsia="Arial"/>
        </w:rPr>
        <w:t>Souvisící normy</w:t>
      </w:r>
    </w:p>
    <w:p>
      <w:pPr>
        <w:pStyle w:val="Textnormy"/>
        <w:rPr/>
      </w:pPr>
      <w:r>
        <w:rPr>
          <w:rFonts w:eastAsia="Arial"/>
        </w:rPr>
        <w:t>V kapitole 3 normy jsou uvedeny dokumenty, které souvisí s užitím této normy. Jsou to jak normy definující plně funkční ERI 24534-1 až 5, tak i normy zabývající se komunikací, její bezpečností, požadavky na elektromagnetickou kompatibilitu atp.</w:t>
      </w:r>
    </w:p>
    <w:p>
      <w:pPr>
        <w:pStyle w:val="Heading1"/>
        <w:ind w:hanging="0" w:start="0"/>
        <w:rPr>
          <w:sz w:val="20"/>
        </w:rPr>
      </w:pPr>
      <w:r>
        <w:rPr>
          <w:rFonts w:eastAsia="Arial"/>
        </w:rPr>
        <w:t xml:space="preserve">4 Termíny a definice</w:t>
      </w:r>
      <w:r>
        <w:rPr/>
        <w:t/>
      </w:r>
      <w:r>
        <w:rPr>
          <w:rFonts w:eastAsia="Arial"/>
        </w:rPr>
        <w:t/>
      </w:r>
    </w:p>
    <w:p>
      <w:pPr>
        <w:pStyle w:val="Textnormy"/>
        <w:rPr/>
      </w:pPr>
      <w:r>
        <w:rPr>
          <w:rFonts w:eastAsia="Arial"/>
          <w:b/>
          <w:bCs/>
        </w:rPr>
        <w:t>4.5 elektronická identifikace registrace</w:t>
      </w:r>
      <w:r>
        <w:rPr>
          <w:rFonts w:eastAsia="Arial"/>
          <w:i/>
          <w:iCs/>
        </w:rPr>
        <w:t>(electronic registration identification ERI)</w:t>
      </w:r>
      <w:r>
        <w:rPr>
          <w:rFonts w:eastAsia="Arial"/>
          <w:b/>
          <w:bCs/>
        </w:rPr>
        <w:t xml:space="preserve"> </w:t>
      </w:r>
      <w:r>
        <w:rPr>
          <w:rFonts w:eastAsia="Arial"/>
        </w:rPr>
        <w:t>činnost nebo kroky</w:t>
      </w:r>
      <w:r>
        <w:rPr>
          <w:rFonts w:eastAsia="Arial"/>
          <w:b/>
          <w:bCs/>
        </w:rPr>
        <w:t xml:space="preserve"> </w:t>
      </w:r>
      <w:r>
        <w:rPr>
          <w:rFonts w:eastAsia="Arial"/>
        </w:rPr>
        <w:t>vedoucí k identifikaci vozidla elektronickými prostředky za ú čely specifikovanými v této normě</w:t>
      </w:r>
    </w:p>
    <w:p>
      <w:pPr>
        <w:pStyle w:val="Textnormy"/>
        <w:rPr/>
      </w:pPr>
      <w:r>
        <w:rPr>
          <w:rFonts w:eastAsia="Arial"/>
          <w:b/>
          <w:bCs/>
        </w:rPr>
        <w:t xml:space="preserve">4.6 čtecí zařízení (čtečka) elektronické registrace </w:t>
      </w:r>
      <w:r>
        <w:rPr>
          <w:rFonts w:eastAsia="Arial"/>
          <w:i/>
          <w:iCs/>
        </w:rPr>
        <w:t>(electronic registration reader ERR)</w:t>
      </w:r>
      <w:r>
        <w:rPr>
          <w:rFonts w:eastAsia="Arial"/>
          <w:b/>
          <w:bCs/>
        </w:rPr>
        <w:t xml:space="preserve"> </w:t>
      </w:r>
      <w:r>
        <w:rPr>
          <w:rFonts w:eastAsia="Arial"/>
        </w:rPr>
        <w:t>zařízení</w:t>
      </w:r>
      <w:r>
        <w:rPr>
          <w:rFonts w:eastAsia="Arial"/>
          <w:b/>
          <w:bCs/>
        </w:rPr>
        <w:t xml:space="preserve"> </w:t>
      </w:r>
      <w:r>
        <w:rPr>
          <w:rFonts w:eastAsia="Arial"/>
        </w:rPr>
        <w:t>používané pro čtení/zápis dat z nebo do „tagu elektronické registrace“ ERT</w:t>
      </w:r>
    </w:p>
    <w:p>
      <w:pPr>
        <w:pStyle w:val="Textnormy"/>
        <w:rPr/>
      </w:pPr>
      <w:r>
        <w:rPr>
          <w:rFonts w:eastAsia="Arial"/>
          <w:b/>
          <w:bCs/>
        </w:rPr>
        <w:t xml:space="preserve">4.7 tag elektronické registrace </w:t>
      </w:r>
      <w:r>
        <w:rPr>
          <w:rFonts w:eastAsia="Arial"/>
          <w:i/>
          <w:iCs/>
        </w:rPr>
        <w:t>(electronic registration tag ERT)</w:t>
      </w:r>
      <w:r>
        <w:rPr>
          <w:rFonts w:eastAsia="Arial"/>
          <w:b/>
          <w:bCs/>
        </w:rPr>
        <w:t xml:space="preserve"> </w:t>
      </w:r>
      <w:r>
        <w:rPr>
          <w:rFonts w:eastAsia="Arial"/>
        </w:rPr>
        <w:t>palubní zařízení ERI, které obsahuje</w:t>
      </w:r>
      <w:r>
        <w:rPr>
          <w:rFonts w:eastAsia="Arial"/>
          <w:b/>
          <w:bCs/>
        </w:rPr>
        <w:t xml:space="preserve"> </w:t>
      </w:r>
      <w:r>
        <w:rPr>
          <w:rFonts w:eastAsia="Arial"/>
        </w:rPr>
        <w:t>data ERI s relevantním zabezpečením a jedno nebo více rozhraní pro přístup k datům</w:t>
      </w:r>
    </w:p>
    <w:p>
      <w:pPr>
        <w:pStyle w:val="Textnormy"/>
        <w:rPr/>
      </w:pPr>
      <w:r>
        <w:rPr>
          <w:rFonts w:eastAsia="Arial"/>
        </w:rPr>
        <w:t xml:space="preserve">Další termíny a zkratky z oboru ITS jsou obsaženy ve slovníku ITS terminology.</w:t>
      </w:r>
    </w:p>
    <w:p>
      <w:pPr>
        <w:pStyle w:val="Heading1"/>
        <w:ind w:hanging="0" w:start="0"/>
        <w:rPr>
          <w:sz w:val="20"/>
        </w:rPr>
      </w:pPr>
      <w:r>
        <w:rPr>
          <w:rFonts w:eastAsia="Arial"/>
        </w:rPr>
        <w:t xml:space="preserve">5 Symboly a zkratky</w:t>
      </w:r>
      <w:r>
        <w:rPr/>
        <w:t/>
      </w:r>
      <w:r>
        <w:rPr>
          <w:rFonts w:eastAsia="Arial"/>
        </w:rPr>
        <w:t/>
      </w:r>
    </w:p>
    <w:p>
      <w:pPr>
        <w:pStyle w:val="Textnormy"/>
        <w:rPr/>
      </w:pPr>
      <w:r>
        <w:rPr>
          <w:rFonts w:eastAsia="Arial" w:cs="Arial"/>
          <w:b/>
          <w:bCs/>
        </w:rPr>
        <w:t>ERI</w:t>
      </w:r>
      <w:r>
        <w:rPr/>
        <w:tab/>
      </w:r>
      <w:r>
        <w:rPr>
          <w:rFonts w:eastAsia="Arial" w:cs="Arial"/>
        </w:rPr>
        <w:t>identifikace elektronické registrace</w:t>
      </w:r>
    </w:p>
    <w:p>
      <w:pPr>
        <w:pStyle w:val="Textnormy"/>
        <w:rPr/>
      </w:pPr>
      <w:r>
        <w:rPr>
          <w:rFonts w:eastAsia="Arial" w:cs="Arial"/>
          <w:b/>
          <w:bCs/>
        </w:rPr>
        <w:t>ERR</w:t>
      </w:r>
      <w:r>
        <w:rPr/>
        <w:tab/>
      </w:r>
      <w:r>
        <w:rPr>
          <w:rFonts w:eastAsia="Arial" w:cs="Arial"/>
        </w:rPr>
        <w:t>čtecí zařízení elektronické registrace</w:t>
      </w:r>
    </w:p>
    <w:p>
      <w:pPr>
        <w:pStyle w:val="Textnormy"/>
        <w:rPr/>
      </w:pPr>
      <w:r>
        <w:rPr>
          <w:rFonts w:eastAsia="Arial" w:cs="Arial"/>
          <w:b/>
          <w:bCs/>
        </w:rPr>
        <w:t>ERT</w:t>
      </w:r>
      <w:r>
        <w:rPr/>
        <w:tab/>
      </w:r>
      <w:r>
        <w:rPr>
          <w:rFonts w:eastAsia="Arial" w:cs="Arial"/>
        </w:rPr>
        <w:t>tag elektronické registrace</w:t>
      </w:r>
    </w:p>
    <w:p>
      <w:pPr>
        <w:pStyle w:val="Textnormy"/>
        <w:rPr/>
      </w:pPr>
      <w:r>
        <w:rPr>
          <w:rFonts w:eastAsia="Arial" w:cs="Arial"/>
          <w:b/>
          <w:bCs/>
        </w:rPr>
        <w:t>VIN</w:t>
      </w:r>
      <w:r>
        <w:rPr/>
        <w:tab/>
      </w:r>
      <w:r>
        <w:rPr>
          <w:rFonts w:eastAsia="Arial" w:cs="Arial"/>
        </w:rPr>
        <w:t>identifikační číslo vozidla</w:t>
      </w:r>
    </w:p>
    <w:p>
      <w:pPr>
        <w:pStyle w:val="Textnormy"/>
        <w:rPr/>
      </w:pPr>
      <w:r>
        <w:rPr>
          <w:rFonts w:eastAsia="Arial"/>
        </w:rPr>
        <w:t xml:space="preserve">Další termíny a zkratky z oboru ITS jsou obsaženy ve slovníku ITS terminology (www.ITSterminology.org).</w:t>
      </w:r>
    </w:p>
    <w:p>
      <w:pPr>
        <w:pStyle w:val="Heading1"/>
        <w:ind w:hanging="0" w:start="0"/>
        <w:rPr>
          <w:sz w:val="20"/>
        </w:rPr>
      </w:pPr>
      <w:r>
        <w:rPr>
          <w:rFonts w:eastAsia="Arial"/>
        </w:rPr>
        <w:t>2</w:t>
      </w:r>
      <w:r>
        <w:rPr/>
        <w:t> </w:t>
      </w:r>
      <w:r>
        <w:rPr>
          <w:rFonts w:eastAsia="Arial"/>
        </w:rPr>
        <w:t>Shoda</w:t>
      </w:r>
    </w:p>
    <w:p>
      <w:pPr>
        <w:pStyle w:val="Textnormy"/>
        <w:rPr/>
      </w:pPr>
      <w:r>
        <w:rPr>
          <w:rFonts w:eastAsia="Arial"/>
        </w:rPr>
        <w:t>Tato kapitola definuje potřebu národních akreditovaných zkoušek pro shodu s tímto systémem. Dále také nutnost použití ověřovacích postupů funkčních charakteristik, pokud existují.</w:t>
      </w:r>
    </w:p>
    <w:p>
      <w:pPr>
        <w:pStyle w:val="Heading1"/>
        <w:ind w:hanging="0" w:start="0"/>
        <w:rPr>
          <w:sz w:val="20"/>
        </w:rPr>
      </w:pPr>
      <w:r>
        <w:rPr>
          <w:rFonts w:eastAsia="Arial"/>
        </w:rPr>
        <w:t>7</w:t>
      </w:r>
      <w:r>
        <w:rPr/>
        <w:t> </w:t>
      </w:r>
      <w:r>
        <w:rPr>
          <w:rFonts w:eastAsia="Arial"/>
        </w:rPr>
        <w:t>Požadavky</w:t>
      </w:r>
    </w:p>
    <w:p>
      <w:pPr>
        <w:pStyle w:val="Textnormy"/>
        <w:rPr/>
      </w:pPr>
      <w:r>
        <w:rPr>
          <w:rFonts w:eastAsia="Arial"/>
        </w:rPr>
        <w:t>Pro potvrzení shody s touto mezinárodní normou musí požadavky uvedené v článcích kapitoly 7. Následující výčet i obsah článků je neúplný a slouží pouze pro ilustraci obsahu této kapitoly.</w:t>
      </w:r>
    </w:p>
    <w:p>
      <w:pPr>
        <w:pStyle w:val="Textnormy"/>
        <w:rPr>
          <w:b/>
        </w:rPr>
      </w:pPr>
      <w:r>
        <w:rPr>
          <w:rFonts w:eastAsia="Arial"/>
          <w:b/>
        </w:rPr>
        <w:t>7.1</w:t>
        <w:tab/>
        <w:t>Environmentální podmínky</w:t>
      </w:r>
    </w:p>
    <w:p>
      <w:pPr>
        <w:pStyle w:val="Textnormy"/>
        <w:rPr/>
      </w:pPr>
      <w:r>
        <w:rPr>
          <w:rFonts w:eastAsia="Arial" w:cs="Arial"/>
          <w:sz w:val="19"/>
          <w:szCs w:val="19"/>
        </w:rPr>
        <w:t>„</w:t>
      </w:r>
      <w:r>
        <w:rPr>
          <w:rFonts w:eastAsia="Arial" w:cs="Arial"/>
          <w:sz w:val="19"/>
          <w:szCs w:val="19"/>
        </w:rPr>
        <w:t>Základní ERI“ musí splňovat požadavky na environmentální podmínky pro za řízení třídy H1 a H2, jak je uvedeno v 5.10.2 normy ISO 14815:2005. „Základní ERT“ musí být provozně spolehlivé v prostředí s rušením elektromagnetického pole v mezních hodnotách uvedených v IEC 61000-4-2 a v EN 301 489.</w:t>
      </w:r>
    </w:p>
    <w:p>
      <w:pPr>
        <w:pStyle w:val="Textnormy"/>
        <w:rPr/>
      </w:pPr>
      <w:r>
        <w:rPr>
          <w:rFonts w:eastAsia="Arial" w:cs="Arial"/>
          <w:b/>
          <w:bCs/>
        </w:rPr>
        <w:t>7.2</w:t>
      </w:r>
      <w:r>
        <w:rPr/>
        <w:tab/>
      </w:r>
      <w:r>
        <w:rPr>
          <w:rFonts w:eastAsia="Arial" w:cs="Arial"/>
          <w:b/>
          <w:bCs/>
          <w:sz w:val="19"/>
          <w:szCs w:val="19"/>
        </w:rPr>
        <w:t>Požadavky na bezpečnost</w:t>
      </w:r>
    </w:p>
    <w:p>
      <w:pPr>
        <w:pStyle w:val="Textnormy"/>
        <w:rPr/>
      </w:pPr>
      <w:r>
        <w:rPr>
          <w:rFonts w:eastAsia="Arial" w:cs="Arial"/>
          <w:sz w:val="19"/>
          <w:szCs w:val="19"/>
        </w:rPr>
        <w:t>„</w:t>
      </w:r>
      <w:r>
        <w:rPr>
          <w:rFonts w:eastAsia="Arial" w:cs="Arial"/>
          <w:sz w:val="19"/>
          <w:szCs w:val="19"/>
        </w:rPr>
        <w:t>Základní ERT“ nesmí být překážkou ve výhledu řidiče, nesmí rozptylovat pozornost řidiče, identifikace vozidla nesmí vyžadovat žádný lidský zásah ve vozidle, elektromagnetická pole vytvořená jakýmkoliv zařízením ERI se musí nacházet v mezních hodnotách uvedených v IEC 60215 / ETSI EN 301 489 atp.</w:t>
      </w:r>
    </w:p>
    <w:p>
      <w:pPr>
        <w:pStyle w:val="Textnormy"/>
        <w:rPr/>
      </w:pPr>
      <w:r>
        <w:rPr>
          <w:rFonts w:eastAsia="Arial" w:cs="Arial"/>
          <w:b/>
          <w:bCs/>
        </w:rPr>
        <w:t>7.3</w:t>
      </w:r>
      <w:r>
        <w:rPr/>
        <w:tab/>
      </w:r>
      <w:r>
        <w:rPr>
          <w:rFonts w:eastAsia="Arial" w:cs="Arial"/>
          <w:b/>
          <w:bCs/>
          <w:sz w:val="19"/>
          <w:szCs w:val="19"/>
        </w:rPr>
        <w:t>Instalace</w:t>
      </w:r>
    </w:p>
    <w:p>
      <w:pPr>
        <w:pStyle w:val="Textnormy"/>
        <w:rPr/>
      </w:pPr>
      <w:r>
        <w:rPr>
          <w:rFonts w:eastAsia="Arial" w:cs="Arial"/>
        </w:rPr>
        <w:t>„</w:t>
      </w:r>
      <w:r>
        <w:rPr>
          <w:rFonts w:eastAsia="Arial" w:cs="Arial"/>
        </w:rPr>
        <w:t>Základní ERT“ musí být upevněno na čelním skle vozidla nebo zabudováno do SPZ vozidla.</w:t>
      </w:r>
    </w:p>
    <w:p>
      <w:pPr>
        <w:pStyle w:val="Textnormy"/>
        <w:rPr/>
      </w:pPr>
      <w:r>
        <w:rPr>
          <w:rFonts w:eastAsia="Arial" w:cs="Arial"/>
          <w:b/>
          <w:bCs/>
        </w:rPr>
        <w:t>7.4</w:t>
      </w:r>
      <w:r>
        <w:rPr/>
        <w:tab/>
      </w:r>
      <w:r>
        <w:rPr>
          <w:rFonts w:eastAsia="Arial" w:cs="Arial"/>
          <w:b/>
          <w:bCs/>
          <w:sz w:val="19"/>
          <w:szCs w:val="19"/>
        </w:rPr>
        <w:t>Provozní požadavky</w:t>
      </w:r>
    </w:p>
    <w:p>
      <w:pPr>
        <w:pStyle w:val="Textnormy"/>
        <w:rPr/>
      </w:pPr>
      <w:r>
        <w:rPr>
          <w:rFonts w:eastAsia="Arial" w:cs="Arial"/>
        </w:rPr>
        <w:t>Provozní a funkční požadavky na transakci ERR/ERT jsou principiálně definované v příslušných mezinárodních normách na bezdrátové rozhraní, se kterými jsou ve shodě. Provozní parametry definované touto mezinárodní normou jsou dodatečnými parametrovými požadavky požadovanými na aplikaci „základního ERI“. Např.:</w:t>
      </w:r>
    </w:p>
    <w:p>
      <w:pPr>
        <w:pStyle w:val="Seznamvnorm"/>
        <w:numPr>
          <w:ilvl w:val="0"/>
          <w:numId w:val="11"/>
        </w:numPr>
        <w:rPr>
          <w:rFonts w:eastAsia="Arial"/>
        </w:rPr>
      </w:pPr>
      <w:bookmarkStart w:id="1" w:name="page3"/>
      <w:bookmarkEnd w:id="1"/>
      <w:r>
        <w:rPr>
          <w:rFonts w:eastAsia="Arial"/>
          <w:b/>
          <w:bCs/>
        </w:rPr>
        <w:t xml:space="preserve">(čl. 7.4.1) Provozní životnost základního ERI: </w:t>
      </w:r>
      <w:r>
        <w:rPr>
          <w:rFonts w:eastAsia="Arial"/>
        </w:rPr>
        <w:t>„Základní ERT“ musí být schopno pracovat v provozu bez údržby po dobu minimálně: Třída 1: 10 let, Třída 2: 5 let.</w:t>
      </w:r>
    </w:p>
    <w:p>
      <w:pPr>
        <w:pStyle w:val="Seznamvnorm"/>
        <w:numPr>
          <w:ilvl w:val="0"/>
          <w:numId w:val="11"/>
        </w:numPr>
        <w:rPr>
          <w:rFonts w:eastAsia="Arial"/>
        </w:rPr>
      </w:pPr>
      <w:r>
        <w:rPr>
          <w:rFonts w:eastAsia="Arial"/>
          <w:b/>
          <w:bCs/>
        </w:rPr>
        <w:t xml:space="preserve">(čl. 7.4.6) Znak evidování manipulace: </w:t>
      </w:r>
      <w:r>
        <w:rPr>
          <w:rFonts w:eastAsia="Arial"/>
        </w:rPr>
        <w:t>„Základní ERT“ musí zobrazit vizuální evidenci</w:t>
      </w:r>
      <w:r>
        <w:rPr>
          <w:rFonts w:eastAsia="Arial"/>
          <w:b/>
          <w:bCs/>
        </w:rPr>
        <w:t xml:space="preserve"> </w:t>
      </w:r>
      <w:r>
        <w:rPr>
          <w:rFonts w:eastAsia="Arial"/>
        </w:rPr>
        <w:t>(důkaz), že bylo se „základním ERT“ fyzicky manipulováno.</w:t>
      </w:r>
    </w:p>
    <w:p>
      <w:pPr>
        <w:pStyle w:val="Seznamvnorm"/>
        <w:numPr>
          <w:ilvl w:val="0"/>
          <w:numId w:val="11"/>
        </w:numPr>
        <w:rPr>
          <w:rFonts w:eastAsia="Arial"/>
        </w:rPr>
      </w:pPr>
      <w:r>
        <w:rPr>
          <w:rFonts w:eastAsia="Arial"/>
          <w:b/>
          <w:bCs/>
        </w:rPr>
        <w:t xml:space="preserve">(čl. 7.4.7) Zničení při odstranění: </w:t>
      </w:r>
      <w:r>
        <w:rPr>
          <w:rFonts w:eastAsia="Arial"/>
        </w:rPr>
        <w:t>„Základní ERT“ musí být trvale zbaveno schopnosti</w:t>
      </w:r>
      <w:r>
        <w:rPr>
          <w:rFonts w:eastAsia="Arial"/>
          <w:b/>
          <w:bCs/>
        </w:rPr>
        <w:t xml:space="preserve"> </w:t>
      </w:r>
      <w:r>
        <w:rPr>
          <w:rFonts w:eastAsia="Arial"/>
        </w:rPr>
        <w:t>provozu při odstranění ze své instalované pozice.</w:t>
      </w:r>
    </w:p>
    <w:p>
      <w:pPr>
        <w:pStyle w:val="Textnormy"/>
        <w:rPr/>
      </w:pPr>
      <w:r>
        <w:rPr>
          <w:rFonts w:eastAsia="Arial" w:cs="Arial"/>
          <w:b/>
          <w:bCs/>
        </w:rPr>
        <w:t>7.5</w:t>
        <w:tab/>
        <w:t>Systémové požadavky</w:t>
      </w:r>
    </w:p>
    <w:p>
      <w:pPr>
        <w:pStyle w:val="Textnormy"/>
        <w:rPr/>
      </w:pPr>
      <w:r>
        <w:rPr>
          <w:rFonts w:eastAsia="Arial" w:cs="Arial"/>
        </w:rPr>
        <w:t>Různé aplikace mohou mít různé požadavky na „základní ERT“. Předmět této mezinárodní normy je omezen na poskytování identifikace registrovanému vozidlu pomocí standardního bezdrátového rozhraní (“základní ERI“).</w:t>
      </w:r>
    </w:p>
    <w:p>
      <w:pPr>
        <w:pStyle w:val="Textnormy"/>
        <w:rPr/>
      </w:pPr>
      <w:r>
        <w:rPr>
          <w:rFonts w:eastAsia="Arial" w:cs="Arial"/>
          <w:b/>
          <w:bCs/>
        </w:rPr>
        <w:t>7.6</w:t>
      </w:r>
      <w:r>
        <w:rPr/>
        <w:tab/>
      </w:r>
      <w:r>
        <w:rPr>
          <w:rFonts w:eastAsia="Arial" w:cs="Arial"/>
          <w:b/>
          <w:bCs/>
          <w:sz w:val="19"/>
          <w:szCs w:val="19"/>
        </w:rPr>
        <w:t>Požadavky na data</w:t>
      </w:r>
    </w:p>
    <w:p>
      <w:pPr>
        <w:pStyle w:val="Textnormy"/>
        <w:rPr/>
      </w:pPr>
      <w:r>
        <w:rPr>
          <w:rFonts w:eastAsia="Arial" w:cs="Arial"/>
        </w:rPr>
        <w:t>Jediný datový prvek požadovaný pro shodu s touto mezinárodní normou je j</w:t>
      </w:r>
      <w:r>
        <w:rPr>
          <w:rFonts w:eastAsia="Arial" w:cs="Arial"/>
          <w:u w:val="single"/>
        </w:rPr>
        <w:t>edinečný identifikátor</w:t>
      </w:r>
      <w:r>
        <w:rPr>
          <w:rFonts w:eastAsia="Arial" w:cs="Arial"/>
        </w:rPr>
        <w:t xml:space="preserve"> </w:t>
      </w:r>
      <w:r>
        <w:rPr>
          <w:rFonts w:eastAsia="Arial" w:cs="Arial"/>
          <w:u w:val="single"/>
        </w:rPr>
        <w:t>vozidla</w:t>
      </w:r>
      <w:r>
        <w:rPr>
          <w:rFonts w:eastAsia="Arial" w:cs="Arial"/>
        </w:rPr>
        <w:t>, jak je definováno v EN ISO 24534-3. Dodatečná data vozidla jsou definována v EN ISO 24534-3.</w:t>
      </w:r>
    </w:p>
    <w:p>
      <w:pPr>
        <w:pStyle w:val="Textnormy"/>
        <w:rPr/>
      </w:pPr>
      <w:r>
        <w:rPr>
          <w:rFonts w:eastAsia="Arial" w:cs="Arial"/>
          <w:b/>
          <w:bCs/>
        </w:rPr>
        <w:t>7.7</w:t>
        <w:tab/>
        <w:t>Identifikátor vozidla</w:t>
      </w:r>
    </w:p>
    <w:p>
      <w:pPr>
        <w:pStyle w:val="Textnormy"/>
        <w:rPr/>
      </w:pPr>
      <w:r>
        <w:rPr>
          <w:rFonts w:eastAsia="Arial" w:cs="Arial"/>
        </w:rPr>
        <w:t>Pokud je to dostupné, upřednostňuje se identifikátor vozidla VIN a musí být podle E N ISO 24534-3.</w:t>
      </w:r>
    </w:p>
    <w:p>
      <w:pPr>
        <w:pStyle w:val="Textnormy"/>
        <w:rPr/>
      </w:pPr>
      <w:r>
        <w:rPr>
          <w:rFonts w:eastAsia="Arial" w:cs="Arial"/>
          <w:b/>
          <w:bCs/>
        </w:rPr>
        <w:t>7.7.4</w:t>
      </w:r>
      <w:r>
        <w:rPr/>
        <w:tab/>
      </w:r>
      <w:r>
        <w:rPr>
          <w:rFonts w:eastAsia="Arial" w:cs="Arial"/>
          <w:b/>
          <w:bCs/>
          <w:sz w:val="19"/>
          <w:szCs w:val="19"/>
        </w:rPr>
        <w:t>Postupy registrace</w:t>
      </w:r>
    </w:p>
    <w:p>
      <w:pPr>
        <w:pStyle w:val="Textnormy"/>
        <w:rPr/>
      </w:pPr>
      <w:r>
        <w:rPr>
          <w:rFonts w:eastAsia="Arial" w:cs="Arial"/>
        </w:rPr>
        <w:t xml:space="preserve">Postupy registrace musí být podle postupů definovaných v EN ISO 14816.</w:t>
      </w:r>
    </w:p>
    <w:p>
      <w:pPr>
        <w:pStyle w:val="Textnormy"/>
        <w:rPr/>
      </w:pPr>
      <w:r>
        <w:rPr>
          <w:rFonts w:eastAsia="Arial" w:cs="Arial"/>
          <w:b/>
          <w:bCs/>
        </w:rPr>
        <w:t>7.8</w:t>
      </w:r>
      <w:r>
        <w:rPr/>
        <w:tab/>
      </w:r>
      <w:r>
        <w:rPr>
          <w:rFonts w:eastAsia="Arial" w:cs="Arial"/>
          <w:b/>
          <w:bCs/>
          <w:sz w:val="19"/>
          <w:szCs w:val="19"/>
        </w:rPr>
        <w:t>Technologie</w:t>
      </w:r>
    </w:p>
    <w:p>
      <w:pPr>
        <w:pStyle w:val="Textnormy"/>
        <w:rPr/>
      </w:pPr>
      <w:r>
        <w:rPr>
          <w:rFonts w:eastAsia="Arial" w:cs="Arial"/>
        </w:rPr>
        <w:t>Pro dosažení interoperability je nezbytné pro všechny komponenty systému „základního ERI“ použít kompatibilní technologii. Je zjištěno, že několik demonstrovaných technologií může dosáhnout požadavků aplikací ERI. Ty jsou uvedeny v příloze A.</w:t>
      </w:r>
    </w:p>
    <w:p>
      <w:pPr>
        <w:pStyle w:val="Heading1"/>
        <w:ind w:hanging="0" w:start="0"/>
        <w:rPr>
          <w:sz w:val="20"/>
        </w:rPr>
      </w:pPr>
      <w:r>
        <w:rPr>
          <w:rFonts w:eastAsia="Arial"/>
        </w:rPr>
        <w:t>Příloha A (informativní) Možné normy pro vhodné bezdrátové rozhraní</w:t>
      </w:r>
    </w:p>
    <w:p>
      <w:pPr>
        <w:pStyle w:val="Textnormy"/>
        <w:spacing w:before="0" w:after="120"/>
        <w:rPr/>
      </w:pPr>
      <w:r>
        <w:rPr>
          <w:rFonts w:eastAsia="Arial"/>
        </w:rPr>
        <w:t>Tato informativní příloha obsahuje reference mezinárodních norem stanovujících vhodná bezdrátová rozhraní, která lze použít pro základní ERI. Seznam není nezbytně úplný; jediným požadavkem je, že dokument bezdrátového rozhraní je mezinárodní, regionální nebo národní normou.</w:t>
      </w:r>
    </w:p>
    <w:sectPr>
      <w:footerReference w:type="even" r:id="rId2"/>
      <w:footerReference w:type="default" r:id="rId3"/>
      <w:type w:val="nextPage"/>
      <w:pgSz w:w="11906" w:h="16838"/>
      <w:pgMar w:left="1021" w:right="964" w:gutter="0" w:header="0" w:top="1134" w:footer="340" w:bottom="1134"/>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Courier New">
    <w:charset w:val="ee" w:characterSet="windows-1250"/>
    <w:family w:val="modern"/>
    <w:pitch w:val="default"/>
  </w:font>
  <w:font w:name="Wingdings">
    <w:charset w:val="02"/>
    <w:family w:val="auto"/>
    <w:pitch w:val="variable"/>
  </w:font>
  <w:font w:name="OpenSymbol">
    <w:altName w:val="Arial Unicode MS"/>
    <w:charset w:val="00" w:characterSet="windows-1252"/>
    <w:family w:val="auto"/>
    <w:pitch w:val="default"/>
  </w:font>
  <w:font w:name="Tahoma">
    <w:charset w:val="ee" w:characterSet="windows-1250"/>
    <w:family w:val="swiss"/>
    <w:pitch w:val="variable"/>
  </w:font>
  <w:font w:name="Times New Roman">
    <w:charset w:val="ee" w:characterSet="windows-1250"/>
    <w:family w:val="roman"/>
    <w:pitch w:val="variable"/>
  </w:font>
  <w:font w:name="Calibri">
    <w:charset w:val="ee" w:characterSet="windows-125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360" w:end="360"/>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360" w:end="360"/>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492"/>
        </w:tabs>
        <w:ind w:start="1492" w:hanging="360"/>
      </w:pPr>
    </w:lvl>
  </w:abstractNum>
  <w:abstractNum w:abstractNumId="3">
    <w:lvl w:ilvl="0">
      <w:start w:val="1"/>
      <w:numFmt w:val="decimal"/>
      <w:lvlText w:val="%1."/>
      <w:lvlJc w:val="start"/>
      <w:pPr>
        <w:tabs>
          <w:tab w:val="num" w:pos="1209"/>
        </w:tabs>
        <w:ind w:start="1209" w:hanging="360"/>
      </w:pPr>
    </w:lvl>
  </w:abstractNum>
  <w:abstractNum w:abstractNumId="4">
    <w:lvl w:ilvl="0">
      <w:start w:val="1"/>
      <w:numFmt w:val="decimal"/>
      <w:lvlText w:val="%1."/>
      <w:lvlJc w:val="start"/>
      <w:pPr>
        <w:tabs>
          <w:tab w:val="num" w:pos="926"/>
        </w:tabs>
        <w:ind w:start="926" w:hanging="360"/>
      </w:pPr>
    </w:lvl>
  </w:abstractNum>
  <w:abstractNum w:abstractNumId="5">
    <w:lvl w:ilvl="0">
      <w:start w:val="1"/>
      <w:numFmt w:val="decimal"/>
      <w:lvlText w:val="%1."/>
      <w:lvlJc w:val="start"/>
      <w:pPr>
        <w:tabs>
          <w:tab w:val="num" w:pos="643"/>
        </w:tabs>
        <w:ind w:start="643" w:hanging="360"/>
      </w:pPr>
    </w:lvl>
  </w:abstractNum>
  <w:abstractNum w:abstractNumId="6">
    <w:lvl w:ilvl="0">
      <w:start w:val="1"/>
      <w:numFmt w:val="bullet"/>
      <w:lvlText w:val=""/>
      <w:lvlJc w:val="start"/>
      <w:pPr>
        <w:tabs>
          <w:tab w:val="num" w:pos="1492"/>
        </w:tabs>
        <w:ind w:start="1492" w:hanging="360"/>
      </w:pPr>
      <w:rPr>
        <w:rFonts w:ascii="Symbol" w:hAnsi="Symbol" w:cs="Symbol" w:hint="default"/>
      </w:rPr>
    </w:lvl>
  </w:abstractNum>
  <w:abstractNum w:abstractNumId="7">
    <w:lvl w:ilvl="0">
      <w:start w:val="1"/>
      <w:numFmt w:val="bullet"/>
      <w:lvlText w:val=""/>
      <w:lvlJc w:val="start"/>
      <w:pPr>
        <w:tabs>
          <w:tab w:val="num" w:pos="1209"/>
        </w:tabs>
        <w:ind w:start="1209" w:hanging="360"/>
      </w:pPr>
      <w:rPr>
        <w:rFonts w:ascii="Symbol" w:hAnsi="Symbol" w:cs="Symbol" w:hint="default"/>
      </w:rPr>
    </w:lvl>
  </w:abstractNum>
  <w:abstractNum w:abstractNumId="8">
    <w:lvl w:ilvl="0">
      <w:start w:val="1"/>
      <w:numFmt w:val="bullet"/>
      <w:lvlText w:val=""/>
      <w:lvlJc w:val="start"/>
      <w:pPr>
        <w:tabs>
          <w:tab w:val="num" w:pos="926"/>
        </w:tabs>
        <w:ind w:start="926" w:hanging="360"/>
      </w:pPr>
      <w:rPr>
        <w:rFonts w:ascii="Symbol" w:hAnsi="Symbol" w:cs="Symbol" w:hint="default"/>
      </w:rPr>
    </w:lvl>
  </w:abstractNum>
  <w:abstractNum w:abstractNumId="9">
    <w:lvl w:ilvl="0">
      <w:start w:val="1"/>
      <w:numFmt w:val="bullet"/>
      <w:lvlText w:val=""/>
      <w:lvlJc w:val="start"/>
      <w:pPr>
        <w:tabs>
          <w:tab w:val="num" w:pos="643"/>
        </w:tabs>
        <w:ind w:start="643" w:hanging="360"/>
      </w:pPr>
      <w:rPr>
        <w:rFonts w:ascii="Symbol" w:hAnsi="Symbol" w:cs="Symbol" w:hint="default"/>
      </w:rPr>
    </w:lvl>
  </w:abstractNum>
  <w:abstractNum w:abstractNumId="10">
    <w:lvl w:ilvl="0">
      <w:start w:val="1"/>
      <w:numFmt w:val="bullet"/>
      <w:lvlText w:val=""/>
      <w:lvlJc w:val="start"/>
      <w:pPr>
        <w:tabs>
          <w:tab w:val="num" w:pos="360"/>
        </w:tabs>
        <w:ind w:start="360" w:hanging="360"/>
      </w:pPr>
      <w:rPr>
        <w:rFonts w:ascii="Symbol" w:hAnsi="Symbol" w:cs="Symbol" w:hint="default"/>
      </w:rPr>
    </w:lvl>
  </w:abstractNum>
  <w:abstractNum w:abstractNumId="11">
    <w:lvl w:ilvl="0">
      <w:start w:val="1"/>
      <w:numFmt w:val="bullet"/>
      <w:lvlText w:val="–"/>
      <w:lvlJc w:val="start"/>
      <w:pPr>
        <w:tabs>
          <w:tab w:val="num" w:pos="360"/>
        </w:tabs>
        <w:ind w:start="283" w:hanging="283"/>
      </w:pPr>
      <w:rPr>
        <w:rFonts w:ascii="Arial" w:hAnsi="Arial" w:cs="Arial" w:hint="default"/>
      </w:rPr>
    </w:lvl>
  </w:abstractNum>
  <w:abstractNum w:abstractNumId="12">
    <w:lvl w:ilvl="0">
      <w:start w:val="1"/>
      <w:numFmt w:val="lowerLetter"/>
      <w:lvlText w:val="%1)"/>
      <w:lvlJc w:val="start"/>
      <w:pPr>
        <w:tabs>
          <w:tab w:val="num" w:pos="360"/>
        </w:tabs>
        <w:ind w:start="284" w:hanging="284"/>
      </w:pPr>
    </w:lvl>
  </w:abstractNum>
  <w:abstractNum w:abstractNumId="13">
    <w:lvl w:ilvl="0">
      <w:start w:val="1"/>
      <w:numFmt w:val="decimal"/>
      <w:lvlText w:val="[%1]"/>
      <w:lvlJc w:val="start"/>
      <w:pPr>
        <w:tabs>
          <w:tab w:val="num" w:pos="360"/>
        </w:tabs>
        <w:ind w:start="360" w:hanging="360"/>
      </w:pPr>
    </w:lvl>
  </w:abstractNum>
  <w:abstractNum w:abstractNumId="14">
    <w:lvl w:ilvl="0">
      <w:start w:val="1"/>
      <w:numFmt w:val="decimal"/>
      <w:lvlText w:val="%1."/>
      <w:lvlJc w:val="start"/>
      <w:pPr>
        <w:tabs>
          <w:tab w:val="num" w:pos="283"/>
        </w:tabs>
        <w:ind w:start="283" w:hanging="283"/>
      </w:pPr>
    </w:lvl>
  </w:abstractNum>
  <w:abstractNum w:abstractNumId="15">
    <w:lvl w:ilvl="0">
      <w:start w:val="1"/>
      <w:numFmt w:val="decimal"/>
      <w:lvlText w:val="%1)"/>
      <w:lvlJc w:val="start"/>
      <w:pPr>
        <w:tabs>
          <w:tab w:val="num" w:pos="360"/>
        </w:tabs>
        <w:ind w:start="284" w:hanging="284"/>
      </w:pPr>
    </w:lvl>
  </w:abstractNum>
  <w:abstractNum w:abstractNumId="16">
    <w:lvl w:ilvl="0">
      <w:start w:val="1"/>
      <w:numFmt w:val="lowerLetter"/>
      <w:lvlText w:val="%1)"/>
      <w:lvlJc w:val="start"/>
      <w:pPr>
        <w:tabs>
          <w:tab w:val="num" w:pos="360"/>
        </w:tabs>
        <w:ind w:start="284" w:hanging="284"/>
      </w:pPr>
    </w:lvl>
  </w:abstractNum>
  <w:abstractNum w:abstractNumId="17">
    <w:lvl w:ilvl="0">
      <w:start w:val="1"/>
      <w:numFmt w:val="lowerLetter"/>
      <w:lvlText w:val="%1)"/>
      <w:lvlJc w:val="start"/>
      <w:pPr>
        <w:tabs>
          <w:tab w:val="num" w:pos="283"/>
        </w:tabs>
        <w:ind w:start="283" w:hanging="283"/>
      </w:pPr>
    </w:lvl>
  </w:abstractNum>
  <w:abstractNum w:abstractNumId="18">
    <w:lvl w:ilvl="0">
      <w:start w:val="1"/>
      <w:numFmt w:val="decimal"/>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mirrorMargins/>
  <w:defaultTabStop w:val="709"/>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Arial" w:hAnsi="Arial" w:eastAsia="Times New Roman" w:cs="Arial"/>
      <w:color w:val="auto"/>
      <w:sz w:val="20"/>
      <w:szCs w:val="20"/>
      <w:lang w:val="cs-CZ" w:bidi="ar-SA" w:eastAsia="zh-CN"/>
    </w:rPr>
  </w:style>
  <w:style w:type="paragraph" w:styleId="Heading1">
    <w:name w:val="heading 1"/>
    <w:basedOn w:val="Nadpiskapitoly"/>
    <w:next w:val="Textnormy"/>
    <w:qFormat/>
    <w:pPr>
      <w:numPr>
        <w:ilvl w:val="0"/>
        <w:numId w:val="1"/>
      </w:numPr>
      <w:spacing w:before="240" w:after="60"/>
      <w:outlineLvl w:val="0"/>
    </w:pPr>
    <w:rPr>
      <w:sz w:val="22"/>
      <w:lang w:val="en-US"/>
    </w:rPr>
  </w:style>
  <w:style w:type="paragraph" w:styleId="Heading2">
    <w:name w:val="heading 2"/>
    <w:basedOn w:val="Nadpislnku"/>
    <w:next w:val="Textnormy"/>
    <w:qFormat/>
    <w:pPr>
      <w:numPr>
        <w:ilvl w:val="1"/>
        <w:numId w:val="1"/>
      </w:numPr>
      <w:outlineLvl w:val="1"/>
    </w:pPr>
    <w:rPr/>
  </w:style>
  <w:style w:type="paragraph" w:styleId="Heading3">
    <w:name w:val="heading 3"/>
    <w:basedOn w:val="Nadpislnku"/>
    <w:next w:val="Textnormy"/>
    <w:qFormat/>
    <w:pPr>
      <w:numPr>
        <w:ilvl w:val="2"/>
        <w:numId w:val="1"/>
      </w:numPr>
      <w:outlineLvl w:val="2"/>
    </w:pPr>
    <w:rPr>
      <w:lang w:val="en-US"/>
    </w:rPr>
  </w:style>
  <w:style w:type="paragraph" w:styleId="Heading4">
    <w:name w:val="heading 4"/>
    <w:basedOn w:val="Nadpislnku"/>
    <w:next w:val="Textnormy"/>
    <w:qFormat/>
    <w:pPr>
      <w:numPr>
        <w:ilvl w:val="3"/>
        <w:numId w:val="1"/>
      </w:numPr>
      <w:outlineLvl w:val="3"/>
    </w:pPr>
    <w:rPr>
      <w:lang w:val="en-US"/>
    </w:rPr>
  </w:style>
  <w:style w:type="paragraph" w:styleId="Heading5">
    <w:name w:val="heading 5"/>
    <w:basedOn w:val="Nadpislnku"/>
    <w:next w:val="Textnormy"/>
    <w:qFormat/>
    <w:pPr>
      <w:numPr>
        <w:ilvl w:val="4"/>
        <w:numId w:val="1"/>
      </w:numPr>
      <w:outlineLvl w:val="4"/>
    </w:pPr>
    <w:rPr>
      <w:lang w:val="en-US"/>
    </w:rPr>
  </w:style>
  <w:style w:type="paragraph" w:styleId="Heading6">
    <w:name w:val="heading 6"/>
    <w:basedOn w:val="Nadpislnku"/>
    <w:next w:val="Textnormy"/>
    <w:qFormat/>
    <w:pPr>
      <w:numPr>
        <w:ilvl w:val="5"/>
        <w:numId w:val="1"/>
      </w:numPr>
      <w:outlineLvl w:val="5"/>
    </w:pPr>
    <w:rPr>
      <w:lang w:val="en-US"/>
    </w:rPr>
  </w:style>
  <w:style w:type="paragraph" w:styleId="Heading7">
    <w:name w:val="heading 7"/>
    <w:basedOn w:val="Nadpislnku"/>
    <w:next w:val="Textnormy"/>
    <w:qFormat/>
    <w:pPr>
      <w:numPr>
        <w:ilvl w:val="6"/>
        <w:numId w:val="1"/>
      </w:numPr>
      <w:outlineLvl w:val="6"/>
    </w:pPr>
    <w:rPr>
      <w:lang w:val="en-US"/>
    </w:rPr>
  </w:style>
  <w:style w:type="paragraph" w:styleId="Heading8">
    <w:name w:val="heading 8"/>
    <w:basedOn w:val="Nadpislnku"/>
    <w:next w:val="Textnormy"/>
    <w:qFormat/>
    <w:pPr>
      <w:numPr>
        <w:ilvl w:val="7"/>
        <w:numId w:val="1"/>
      </w:numPr>
      <w:outlineLvl w:val="7"/>
    </w:pPr>
    <w:rPr>
      <w:lang w:val="en-US"/>
    </w:rPr>
  </w:style>
  <w:style w:type="paragraph" w:styleId="Heading9">
    <w:name w:val="heading 9"/>
    <w:basedOn w:val="Nadpislnku"/>
    <w:next w:val="Textnormy"/>
    <w:qFormat/>
    <w:pPr>
      <w:numPr>
        <w:ilvl w:val="8"/>
        <w:numId w:val="1"/>
      </w:numPr>
      <w:outlineLvl w:val="8"/>
    </w:pPr>
    <w:rPr>
      <w:lang w:val="en-U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Arial" w:hAnsi="Arial" w:cs="Arial"/>
    </w:rPr>
  </w:style>
  <w:style w:type="character" w:styleId="WW8Num15z0">
    <w:name w:val="WW8Num15z0"/>
    <w:qFormat/>
    <w:rPr>
      <w:rFonts w:ascii="Arial" w:hAnsi="Arial" w:eastAsia="Times New Roman" w:cs="Aria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Arial" w:hAnsi="Arial" w:eastAsia="Arial" w:cs="Arial"/>
      <w:position w:val="0"/>
      <w:sz w:val="24"/>
      <w:vertAlign w:val="baseline"/>
    </w:rPr>
  </w:style>
  <w:style w:type="character" w:styleId="WW8Num18z0">
    <w:name w:val="WW8Num18z0"/>
    <w:qFormat/>
    <w:rPr>
      <w:rFonts w:ascii="Arial" w:hAnsi="Arial" w:eastAsia="Times New Roman" w:cs="Aria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Arial" w:hAnsi="Arial" w:eastAsia="Times New Roman" w:cs="Aria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Arial" w:hAnsi="Arial" w:eastAsia="Times New Roman" w:cs="Aria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31z0">
    <w:name w:val="WW8Num31z0"/>
    <w:qFormat/>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u w:val="none"/>
    </w:rPr>
  </w:style>
  <w:style w:type="character" w:styleId="WW8Num38z0">
    <w:name w:val="WW8Num38z0"/>
    <w:qFormat/>
    <w:rPr>
      <w:rFonts w:ascii="Arial" w:hAnsi="Arial" w:eastAsia="Arial" w:cs="Arial"/>
      <w:position w:val="0"/>
      <w:sz w:val="20"/>
      <w:szCs w:val="20"/>
      <w:vertAlign w:val="baseline"/>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OpenSymbol;Times New Roman" w:hAnsi="OpenSymbol;Times New Roman" w:eastAsia="OpenSymbol;Times New Roman" w:cs="OpenSymbol;Times New Roman"/>
    </w:rPr>
  </w:style>
  <w:style w:type="character" w:styleId="Standardnpsmoodstavce">
    <w:name w:val="Standardní písmo odstavce"/>
    <w:qFormat/>
    <w:rPr/>
  </w:style>
  <w:style w:type="character" w:styleId="PageNumber">
    <w:name w:val="page number"/>
    <w:rPr>
      <w:rFonts w:ascii="Arial" w:hAnsi="Arial" w:cs="Arial"/>
      <w:sz w:val="18"/>
    </w:rPr>
  </w:style>
  <w:style w:type="character" w:styleId="FootnoteCharacters">
    <w:name w:val="Footnote Characters"/>
    <w:qFormat/>
    <w:rPr>
      <w:vertAlign w:val="superscript"/>
    </w:rPr>
  </w:style>
  <w:style w:type="character" w:styleId="Hyperlink">
    <w:name w:val="Hyperlink"/>
    <w:rPr>
      <w:color w:val="0000FF"/>
      <w:u w:val="single"/>
    </w:rPr>
  </w:style>
  <w:style w:type="character" w:styleId="AkronymHTML">
    <w:name w:val="Akronym HTML"/>
    <w:basedOn w:val="Standardnpsmoodstavce"/>
    <w:qFormat/>
    <w:rPr/>
  </w:style>
  <w:style w:type="character" w:styleId="CittHTML">
    <w:name w:val="Citát HTML"/>
    <w:qFormat/>
    <w:rPr>
      <w:i/>
      <w:iCs/>
    </w:rPr>
  </w:style>
  <w:style w:type="character" w:styleId="LineNumber">
    <w:name w:val="line number"/>
    <w:basedOn w:val="Standardnpsmoodstavce"/>
    <w:rPr/>
  </w:style>
  <w:style w:type="character" w:styleId="DefiniceHTML">
    <w:name w:val="Definice HTML"/>
    <w:qFormat/>
    <w:rPr>
      <w:i/>
      <w:iCs/>
    </w:rPr>
  </w:style>
  <w:style w:type="character" w:styleId="KlvesniceHTML">
    <w:name w:val="Klávesnice HTML"/>
    <w:qFormat/>
    <w:rPr>
      <w:rFonts w:ascii="Courier New" w:hAnsi="Courier New" w:cs="Courier New"/>
      <w:sz w:val="20"/>
      <w:szCs w:val="20"/>
    </w:rPr>
  </w:style>
  <w:style w:type="character" w:styleId="KdHTML">
    <w:name w:val="Kód HTML"/>
    <w:qFormat/>
    <w:rPr>
      <w:rFonts w:ascii="Courier New" w:hAnsi="Courier New" w:cs="Courier New"/>
      <w:sz w:val="20"/>
      <w:szCs w:val="20"/>
    </w:rPr>
  </w:style>
  <w:style w:type="character" w:styleId="PromnnHTML">
    <w:name w:val="Proměnná HTML"/>
    <w:qFormat/>
    <w:rPr>
      <w:i/>
      <w:iCs/>
    </w:rPr>
  </w:style>
  <w:style w:type="character" w:styleId="PsacstrojHTML">
    <w:name w:val="Psací stroj HTML"/>
    <w:qFormat/>
    <w:rPr>
      <w:rFonts w:ascii="Courier New" w:hAnsi="Courier New" w:cs="Courier New"/>
      <w:sz w:val="20"/>
      <w:szCs w:val="20"/>
    </w:rPr>
  </w:style>
  <w:style w:type="character" w:styleId="Strong">
    <w:name w:val="Strong"/>
    <w:qFormat/>
    <w:rPr>
      <w:b/>
      <w:bCs/>
    </w:rPr>
  </w:style>
  <w:style w:type="character" w:styleId="FollowedHyperlink">
    <w:name w:val="FollowedHyperlink"/>
    <w:rPr>
      <w:color w:val="800080"/>
      <w:u w:val="single"/>
    </w:rPr>
  </w:style>
  <w:style w:type="character" w:styleId="UkzkaHTML">
    <w:name w:val="Ukázka HTML"/>
    <w:qFormat/>
    <w:rPr>
      <w:rFonts w:ascii="Courier New" w:hAnsi="Courier New" w:cs="Courier New"/>
    </w:rPr>
  </w:style>
  <w:style w:type="character" w:styleId="Emphasis">
    <w:name w:val="Emphasis"/>
    <w:qFormat/>
    <w:rPr>
      <w:i/>
      <w:iCs/>
    </w:rPr>
  </w:style>
  <w:style w:type="character" w:styleId="TextnormyChar">
    <w:name w:val="Text normy Char"/>
    <w:qFormat/>
    <w:rPr>
      <w:rFonts w:ascii="Arial" w:hAnsi="Arial" w:cs="Arial"/>
      <w:lang w:val="cs-CZ" w:bidi="ar-SA"/>
    </w:rPr>
  </w:style>
  <w:style w:type="character" w:styleId="NadpislnkuChar">
    <w:name w:val="Nadpis článku Char"/>
    <w:qFormat/>
    <w:rPr>
      <w:rFonts w:ascii="Arial" w:hAnsi="Arial" w:cs="Arial"/>
      <w:b/>
      <w:lang w:val="cs-CZ" w:bidi="ar-SA"/>
    </w:rPr>
  </w:style>
  <w:style w:type="character" w:styleId="Nadpis2Char">
    <w:name w:val="Nadpis 2 Char"/>
    <w:basedOn w:val="NadpislnkuChar"/>
    <w:qFormat/>
    <w:rPr/>
  </w:style>
  <w:style w:type="character" w:styleId="TextnormyChar1">
    <w:name w:val="Text normy Char1"/>
    <w:qFormat/>
    <w:rPr>
      <w:rFonts w:ascii="Arial" w:hAnsi="Arial" w:cs="Arial"/>
      <w:lang w:val="cs-CZ" w:bidi="ar-SA"/>
    </w:rPr>
  </w:style>
  <w:style w:type="character" w:styleId="Odkaznakoment">
    <w:name w:val="Odkaz na komentář"/>
    <w:qFormat/>
    <w:rPr>
      <w:sz w:val="16"/>
      <w:szCs w:val="16"/>
    </w:rPr>
  </w:style>
  <w:style w:type="character" w:styleId="TextkomenteChar">
    <w:name w:val="Text komentáře Char"/>
    <w:qFormat/>
    <w:rPr>
      <w:rFonts w:ascii="Arial" w:hAnsi="Arial" w:cs="Arial"/>
    </w:rPr>
  </w:style>
  <w:style w:type="character" w:styleId="PedmtkomenteChar">
    <w:name w:val="Předmět komentáře Char"/>
    <w:qFormat/>
    <w:rPr>
      <w:rFonts w:ascii="Arial" w:hAnsi="Arial" w:cs="Arial"/>
      <w:b/>
      <w:bCs/>
    </w:rPr>
  </w:style>
  <w:style w:type="character" w:styleId="TextbublinyChar">
    <w:name w:val="Text bubliny Char"/>
    <w:qFormat/>
    <w:rPr>
      <w:rFonts w:ascii="Tahoma" w:hAnsi="Tahoma" w:cs="Tahoma"/>
      <w:sz w:val="16"/>
      <w:szCs w:val="16"/>
    </w:rPr>
  </w:style>
  <w:style w:type="character" w:styleId="1StrNN-1-23Char">
    <w:name w:val="1StrNN-1-23 Char"/>
    <w:qFormat/>
    <w:rPr>
      <w:rFonts w:ascii="Arial" w:hAnsi="Arial" w:cs="Arial"/>
      <w:b/>
      <w:sz w:val="28"/>
      <w:lang w:val="cs-CZ" w:bidi="ar-SA"/>
    </w:rPr>
  </w:style>
  <w:style w:type="character" w:styleId="1StrNN-4-4Char">
    <w:name w:val="1StrNN-4-4 Char"/>
    <w:basedOn w:val="1StrNN-1-23Char"/>
    <w:qFormat/>
    <w:rPr/>
  </w:style>
  <w:style w:type="character" w:styleId="Nadpis1Char">
    <w:name w:val="Nadpis 1 Char"/>
    <w:qFormat/>
    <w:rPr>
      <w:rFonts w:ascii="Arial" w:hAnsi="Arial" w:cs="Arial"/>
      <w:b/>
      <w:sz w:val="22"/>
    </w:rPr>
  </w:style>
  <w:style w:type="character" w:styleId="Nadpis3Char">
    <w:name w:val="Nadpis 3 Char"/>
    <w:qFormat/>
    <w:rPr>
      <w:rFonts w:ascii="Arial" w:hAnsi="Arial" w:cs="Arial"/>
      <w:b/>
    </w:rPr>
  </w:style>
  <w:style w:type="character" w:styleId="Nadpis4Char">
    <w:name w:val="Nadpis 4 Char"/>
    <w:qFormat/>
    <w:rPr>
      <w:rFonts w:ascii="Arial" w:hAnsi="Arial" w:cs="Arial"/>
      <w:b/>
    </w:rPr>
  </w:style>
  <w:style w:type="character" w:styleId="Nadpis5Char">
    <w:name w:val="Nadpis 5 Char"/>
    <w:qFormat/>
    <w:rPr>
      <w:rFonts w:ascii="Arial" w:hAnsi="Arial" w:cs="Arial"/>
      <w:b/>
    </w:rPr>
  </w:style>
  <w:style w:type="character" w:styleId="Nadpis6Char">
    <w:name w:val="Nadpis 6 Char"/>
    <w:qFormat/>
    <w:rPr>
      <w:rFonts w:ascii="Arial" w:hAnsi="Arial" w:cs="Arial"/>
      <w:b/>
    </w:rPr>
  </w:style>
  <w:style w:type="character" w:styleId="Nadpis7Char">
    <w:name w:val="Nadpis 7 Char"/>
    <w:qFormat/>
    <w:rPr>
      <w:rFonts w:ascii="Arial" w:hAnsi="Arial" w:cs="Arial"/>
      <w:b/>
    </w:rPr>
  </w:style>
  <w:style w:type="character" w:styleId="Nadpis8Char">
    <w:name w:val="Nadpis 8 Char"/>
    <w:qFormat/>
    <w:rPr>
      <w:rFonts w:ascii="Arial" w:hAnsi="Arial" w:cs="Arial"/>
      <w:b/>
    </w:rPr>
  </w:style>
  <w:style w:type="character" w:styleId="Nadpis9Char">
    <w:name w:val="Nadpis 9 Char"/>
    <w:qFormat/>
    <w:rPr>
      <w:rFonts w:ascii="Arial" w:hAnsi="Arial" w:cs="Arial"/>
      <w:b/>
    </w:rPr>
  </w:style>
  <w:style w:type="character" w:styleId="PoznmkaChar">
    <w:name w:val="Poznámka Char"/>
    <w:qFormat/>
    <w:rPr>
      <w:rFonts w:ascii="Arial" w:hAnsi="Arial" w:cs="Arial"/>
      <w:sz w:val="18"/>
    </w:rPr>
  </w:style>
  <w:style w:type="character" w:styleId="ZhlavChar">
    <w:name w:val="Záhlaví Char"/>
    <w:qFormat/>
    <w:rPr>
      <w:rFonts w:ascii="Arial" w:hAnsi="Arial" w:cs="Arial"/>
      <w:sz w:val="18"/>
    </w:rPr>
  </w:style>
  <w:style w:type="character" w:styleId="ZpatChar">
    <w:name w:val="Zápatí Char"/>
    <w:qFormat/>
    <w:rPr>
      <w:rFonts w:ascii="Arial" w:hAnsi="Arial" w:cs="Arial"/>
      <w:sz w:val="18"/>
    </w:rPr>
  </w:style>
  <w:style w:type="character" w:styleId="ZkladntextChar">
    <w:name w:val="Základní text Char"/>
    <w:qFormat/>
    <w:rPr>
      <w:rFonts w:ascii="Arial" w:hAnsi="Arial" w:cs="Arial"/>
    </w:rPr>
  </w:style>
  <w:style w:type="character" w:styleId="TextpoznpodarouChar">
    <w:name w:val="Text pozn. pod čarou Char"/>
    <w:qFormat/>
    <w:rPr>
      <w:rFonts w:ascii="Arial" w:hAnsi="Arial" w:cs="Arial"/>
      <w:sz w:val="18"/>
    </w:rPr>
  </w:style>
  <w:style w:type="character" w:styleId="TextnormyCharChar">
    <w:name w:val="Text normy Char Char"/>
    <w:qFormat/>
    <w:rPr>
      <w:rFonts w:ascii="Arial" w:hAnsi="Arial" w:cs="Arial"/>
      <w:lang w:val="cs-CZ" w:bidi="ar-SA"/>
    </w:rPr>
  </w:style>
  <w:style w:type="character" w:styleId="NzevChar">
    <w:name w:val="Název Char"/>
    <w:qFormat/>
    <w:rPr>
      <w:rFonts w:ascii="Arial" w:hAnsi="Arial" w:cs="Arial"/>
      <w:b/>
      <w:bCs/>
      <w:kern w:val="2"/>
      <w:sz w:val="32"/>
      <w:szCs w:val="32"/>
    </w:rPr>
  </w:style>
  <w:style w:type="paragraph" w:styleId="Heading">
    <w:name w:val="Heading"/>
    <w:basedOn w:val="Normal"/>
    <w:next w:val="BodyText"/>
    <w:qFormat/>
    <w:pPr>
      <w:spacing w:before="240" w:after="60"/>
      <w:jc w:val="center"/>
      <w:outlineLvl w:val="0"/>
    </w:pPr>
    <w:rPr>
      <w:b/>
      <w:bCs/>
      <w:kern w:val="2"/>
      <w:sz w:val="32"/>
      <w:szCs w:val="32"/>
      <w:lang w:val="en-US"/>
    </w:rPr>
  </w:style>
  <w:style w:type="paragraph" w:styleId="BodyText">
    <w:name w:val="Body Text"/>
    <w:basedOn w:val="Normal"/>
    <w:pPr>
      <w:spacing w:before="0" w:after="120"/>
    </w:pPr>
    <w:rPr>
      <w:lang w:val="en-US"/>
    </w:rPr>
  </w:style>
  <w:style w:type="paragraph" w:styleId="List">
    <w:name w:val="List"/>
    <w:basedOn w:val="Normal"/>
    <w:pPr>
      <w:ind w:hanging="283" w:start="283" w:end="0"/>
    </w:pPr>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extnormy">
    <w:name w:val="Text normy"/>
    <w:qFormat/>
    <w:pPr>
      <w:widowControl/>
      <w:bidi w:val="0"/>
      <w:spacing w:before="0" w:after="120"/>
      <w:jc w:val="both"/>
    </w:pPr>
    <w:rPr>
      <w:rFonts w:ascii="Arial" w:hAnsi="Arial" w:eastAsia="Times New Roman" w:cs="Arial"/>
      <w:color w:val="auto"/>
      <w:sz w:val="20"/>
      <w:szCs w:val="20"/>
      <w:lang w:val="cs-CZ" w:bidi="ar-SA" w:eastAsia="zh-CN"/>
    </w:rPr>
  </w:style>
  <w:style w:type="paragraph" w:styleId="Nadpislnku">
    <w:name w:val="Nadpis článku"/>
    <w:basedOn w:val="Textnormy"/>
    <w:next w:val="Textnormy"/>
    <w:qFormat/>
    <w:pPr>
      <w:keepNext w:val="true"/>
      <w:keepLines/>
      <w:suppressAutoHyphens w:val="true"/>
      <w:spacing w:before="120" w:after="120"/>
      <w:jc w:val="start"/>
    </w:pPr>
    <w:rPr>
      <w:b/>
    </w:rPr>
  </w:style>
  <w:style w:type="paragraph" w:styleId="Nadpiskapitoly">
    <w:name w:val="Nadpis kapitoly"/>
    <w:basedOn w:val="Nadpislnku"/>
    <w:next w:val="Textnormy"/>
    <w:qFormat/>
    <w:pPr>
      <w:spacing w:before="240" w:after="180"/>
    </w:pPr>
    <w:rPr>
      <w:sz w:val="24"/>
    </w:rPr>
  </w:style>
  <w:style w:type="paragraph" w:styleId="1StrTrZn">
    <w:name w:val="1StrTrZn"/>
    <w:basedOn w:val="Textnormy"/>
    <w:qFormat/>
    <w:pPr>
      <w:spacing w:lineRule="exact" w:line="340" w:before="80" w:after="80"/>
      <w:jc w:val="start"/>
    </w:pPr>
    <w:rPr>
      <w:sz w:val="28"/>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1StrNN-2-23">
    <w:name w:val="1StrNN-2-23"/>
    <w:basedOn w:val="1StrNN-1-23"/>
    <w:qFormat/>
    <w:pPr>
      <w:spacing w:before="480" w:after="0"/>
    </w:pPr>
    <w:rPr/>
  </w:style>
  <w:style w:type="paragraph" w:styleId="Cizojazynnzev">
    <w:name w:val="Cizojazyčný název"/>
    <w:basedOn w:val="Textnormy"/>
    <w:qFormat/>
    <w:pPr>
      <w:widowControl w:val="false"/>
      <w:suppressAutoHyphens w:val="true"/>
      <w:jc w:val="start"/>
    </w:pPr>
    <w:rPr>
      <w:sz w:val="18"/>
      <w:lang w:val="en-GB"/>
    </w:rPr>
  </w:style>
  <w:style w:type="paragraph" w:styleId="slovanseznam">
    <w:name w:val="Číslovaný seznam"/>
    <w:basedOn w:val="Textnormy"/>
    <w:qFormat/>
    <w:pPr>
      <w:numPr>
        <w:ilvl w:val="0"/>
        <w:numId w:val="14"/>
      </w:numPr>
      <w:ind w:hanging="284" w:start="284" w:end="0"/>
    </w:pPr>
    <w:rPr/>
  </w:style>
  <w:style w:type="paragraph" w:styleId="Index1">
    <w:name w:val="index 1"/>
    <w:basedOn w:val="Textnormy"/>
    <w:next w:val="Textnormy"/>
    <w:pPr>
      <w:tabs>
        <w:tab w:val="clear" w:pos="709"/>
        <w:tab w:val="right" w:pos="9923" w:leader="none"/>
      </w:tabs>
      <w:spacing w:before="0" w:after="60"/>
      <w:ind w:hanging="198" w:start="198" w:end="0"/>
      <w:jc w:val="start"/>
    </w:pPr>
    <w:rPr>
      <w:sz w:val="18"/>
    </w:rPr>
  </w:style>
  <w:style w:type="paragraph" w:styleId="Shodnost">
    <w:name w:val="Shodnost"/>
    <w:basedOn w:val="Textnormy"/>
    <w:next w:val="Textnormy"/>
    <w:qFormat/>
    <w:pPr>
      <w:keepNext w:val="true"/>
      <w:keepLines/>
      <w:tabs>
        <w:tab w:val="clear" w:pos="709"/>
        <w:tab w:val="right" w:pos="9923" w:leader="none"/>
      </w:tabs>
      <w:spacing w:before="240" w:after="360"/>
      <w:jc w:val="start"/>
    </w:pPr>
    <w:rPr>
      <w:sz w:val="28"/>
    </w:rPr>
  </w:style>
  <w:style w:type="paragraph" w:styleId="Poznmka">
    <w:name w:val="Poznámka"/>
    <w:basedOn w:val="Textnormy"/>
    <w:next w:val="Textnormy"/>
    <w:qFormat/>
    <w:pPr>
      <w:spacing w:before="80" w:after="200"/>
    </w:pPr>
    <w:rPr>
      <w:sz w:val="18"/>
      <w:lang w:val="en-US"/>
    </w:rPr>
  </w:style>
  <w:style w:type="paragraph" w:styleId="Seznampoznmek">
    <w:name w:val="Seznam poznámek"/>
    <w:basedOn w:val="Poznmka"/>
    <w:qFormat/>
    <w:pPr>
      <w:numPr>
        <w:ilvl w:val="0"/>
        <w:numId w:val="18"/>
      </w:numPr>
      <w:spacing w:before="0" w:after="120"/>
      <w:ind w:hanging="284" w:start="284" w:end="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Textnormy"/>
    <w:pPr/>
    <w:rPr>
      <w:sz w:val="18"/>
      <w:lang w:val="en-US"/>
    </w:rPr>
  </w:style>
  <w:style w:type="paragraph" w:styleId="Footer">
    <w:name w:val="footer"/>
    <w:basedOn w:val="Textnormy"/>
    <w:pPr>
      <w:jc w:val="center"/>
    </w:pPr>
    <w:rPr>
      <w:sz w:val="18"/>
      <w:lang w:val="en-US"/>
    </w:rPr>
  </w:style>
  <w:style w:type="paragraph" w:styleId="TOC1">
    <w:name w:val="toc 1"/>
    <w:basedOn w:val="Textnormy"/>
    <w:next w:val="Textnormy"/>
    <w:pPr>
      <w:tabs>
        <w:tab w:val="clear" w:pos="709"/>
        <w:tab w:val="right" w:pos="9752" w:leader="dot"/>
        <w:tab w:val="right" w:pos="9923" w:leader="none"/>
      </w:tabs>
      <w:ind w:hanging="567" w:start="567" w:end="0"/>
      <w:jc w:val="start"/>
    </w:pPr>
    <w:rPr>
      <w:sz w:val="18"/>
      <w:lang w:val="en-US" w:eastAsia="en-US"/>
    </w:rPr>
  </w:style>
  <w:style w:type="paragraph" w:styleId="TOC2">
    <w:name w:val="toc 2"/>
    <w:basedOn w:val="TOC1"/>
    <w:next w:val="Textnormy"/>
    <w:pPr/>
    <w:rPr/>
  </w:style>
  <w:style w:type="paragraph" w:styleId="TOC5">
    <w:name w:val="toc 5"/>
    <w:basedOn w:val="TOC1"/>
    <w:next w:val="Textnormy"/>
    <w:pPr/>
    <w:rPr/>
  </w:style>
  <w:style w:type="paragraph" w:styleId="TOC3">
    <w:name w:val="toc 3"/>
    <w:basedOn w:val="TOC1"/>
    <w:next w:val="Textnormy"/>
    <w:pPr/>
    <w:rPr/>
  </w:style>
  <w:style w:type="paragraph" w:styleId="TOC4">
    <w:name w:val="toc 4"/>
    <w:basedOn w:val="TOC1"/>
    <w:next w:val="Textnormy"/>
    <w:pPr/>
    <w:rPr/>
  </w:style>
  <w:style w:type="paragraph" w:styleId="TOC6">
    <w:name w:val="toc 6"/>
    <w:basedOn w:val="TOC1"/>
    <w:next w:val="Textnormy"/>
    <w:pPr/>
    <w:rPr/>
  </w:style>
  <w:style w:type="paragraph" w:styleId="TOC7">
    <w:name w:val="toc 7"/>
    <w:basedOn w:val="TOC1"/>
    <w:next w:val="Textnormy"/>
    <w:pPr/>
    <w:rPr/>
  </w:style>
  <w:style w:type="paragraph" w:styleId="TOC8">
    <w:name w:val="toc 8"/>
    <w:basedOn w:val="TOC1"/>
    <w:next w:val="Textnormy"/>
    <w:pPr/>
    <w:rPr/>
  </w:style>
  <w:style w:type="paragraph" w:styleId="TOC9">
    <w:name w:val="toc 9"/>
    <w:basedOn w:val="Normal"/>
    <w:next w:val="Normal"/>
    <w:pPr>
      <w:ind w:hanging="0" w:start="1600" w:end="0"/>
    </w:pPr>
    <w:rPr/>
  </w:style>
  <w:style w:type="paragraph" w:styleId="Abecednseznam">
    <w:name w:val="Abecední seznam"/>
    <w:basedOn w:val="Textnormy"/>
    <w:qFormat/>
    <w:pPr>
      <w:numPr>
        <w:ilvl w:val="0"/>
        <w:numId w:val="16"/>
      </w:numPr>
      <w:tabs>
        <w:tab w:val="clear" w:pos="709"/>
      </w:tabs>
    </w:pPr>
    <w:rPr/>
  </w:style>
  <w:style w:type="paragraph" w:styleId="slovanseznamvnorm">
    <w:name w:val="Číslovaný seznam v normě"/>
    <w:basedOn w:val="Textnormy"/>
    <w:qFormat/>
    <w:pPr>
      <w:numPr>
        <w:ilvl w:val="0"/>
        <w:numId w:val="15"/>
      </w:numPr>
      <w:tabs>
        <w:tab w:val="clear" w:pos="709"/>
      </w:tabs>
    </w:pPr>
    <w:rPr/>
  </w:style>
  <w:style w:type="paragraph" w:styleId="Seznamvnorm">
    <w:name w:val="Seznam v normě"/>
    <w:basedOn w:val="Textnormy"/>
    <w:qFormat/>
    <w:pPr>
      <w:numPr>
        <w:ilvl w:val="0"/>
        <w:numId w:val="11"/>
      </w:numPr>
      <w:tabs>
        <w:tab w:val="clear" w:pos="709"/>
      </w:tabs>
      <w:ind w:hanging="284" w:start="284" w:end="0"/>
    </w:pPr>
    <w:rPr/>
  </w:style>
  <w:style w:type="paragraph" w:styleId="Obrzek">
    <w:name w:val="Obrázek"/>
    <w:basedOn w:val="Textnormy"/>
    <w:next w:val="NadpisTabObr"/>
    <w:qFormat/>
    <w:pPr>
      <w:keepNext w:val="true"/>
      <w:spacing w:before="0" w:after="160"/>
      <w:jc w:val="center"/>
    </w:pPr>
    <w:rPr/>
  </w:style>
  <w:style w:type="paragraph" w:styleId="NadpisTabObr">
    <w:name w:val="NadpisTabObr"/>
    <w:basedOn w:val="Nadpislnku"/>
    <w:next w:val="Textnormy"/>
    <w:qFormat/>
    <w:pPr>
      <w:keepNext w:val="false"/>
      <w:jc w:val="center"/>
    </w:pPr>
    <w:rPr/>
  </w:style>
  <w:style w:type="paragraph" w:styleId="Titulek">
    <w:name w:val="Titulek"/>
    <w:basedOn w:val="Normal"/>
    <w:next w:val="Normal"/>
    <w:qFormat/>
    <w:pPr>
      <w:spacing w:before="120" w:after="120"/>
    </w:pPr>
    <w:rPr>
      <w:b/>
    </w:rPr>
  </w:style>
  <w:style w:type="paragraph" w:styleId="FootnoteText">
    <w:name w:val="footnote text"/>
    <w:basedOn w:val="Poznmka"/>
    <w:pPr>
      <w:spacing w:before="60" w:after="0"/>
    </w:pPr>
    <w:rPr/>
  </w:style>
  <w:style w:type="paragraph" w:styleId="1StrCN">
    <w:name w:val="1StrCN"/>
    <w:basedOn w:val="Textnormy"/>
    <w:next w:val="1StrTrZn"/>
    <w:qFormat/>
    <w:pPr>
      <w:spacing w:lineRule="exact" w:line="340" w:before="180" w:after="0"/>
      <w:jc w:val="start"/>
    </w:pPr>
    <w:rPr>
      <w:b/>
      <w:sz w:val="32"/>
      <w:lang w:val="en-US" w:eastAsia="en-US"/>
    </w:rPr>
  </w:style>
  <w:style w:type="paragraph" w:styleId="1Str1Rad">
    <w:name w:val="1Str1Rad"/>
    <w:basedOn w:val="Textnormy"/>
    <w:qFormat/>
    <w:pPr>
      <w:widowControl w:val="false"/>
      <w:tabs>
        <w:tab w:val="clear" w:pos="709"/>
        <w:tab w:val="left" w:pos="7371" w:leader="none"/>
        <w:tab w:val="right" w:pos="9923" w:leader="none"/>
      </w:tabs>
    </w:pPr>
    <w:rPr/>
  </w:style>
  <w:style w:type="paragraph" w:styleId="esknorma">
    <w:name w:val="Česká norma"/>
    <w:basedOn w:val="Textnormy"/>
    <w:next w:val="1Str1Rad"/>
    <w:qFormat/>
    <w:pPr>
      <w:spacing w:before="0" w:after="0"/>
      <w:jc w:val="start"/>
    </w:pPr>
    <w:rPr>
      <w:sz w:val="28"/>
    </w:rPr>
  </w:style>
  <w:style w:type="paragraph" w:styleId="EnvelopeReturn">
    <w:name w:val="envelope return"/>
    <w:basedOn w:val="Normal"/>
    <w:pPr/>
    <w:rPr/>
  </w:style>
  <w:style w:type="paragraph" w:styleId="IndexHeading">
    <w:name w:val="index heading"/>
    <w:basedOn w:val="Textnormy"/>
    <w:next w:val="Index1"/>
    <w:pPr>
      <w:spacing w:before="120" w:after="60"/>
      <w:jc w:val="start"/>
    </w:pPr>
    <w:rPr>
      <w:b/>
      <w:sz w:val="18"/>
    </w:rPr>
  </w:style>
  <w:style w:type="paragraph" w:styleId="Texttabulky">
    <w:name w:val="Text tabulky"/>
    <w:basedOn w:val="Textnormy"/>
    <w:qFormat/>
    <w:pPr>
      <w:suppressAutoHyphens w:val="true"/>
      <w:spacing w:before="60" w:after="60"/>
      <w:jc w:val="start"/>
    </w:pPr>
    <w:rPr>
      <w:sz w:val="18"/>
    </w:rPr>
  </w:style>
  <w:style w:type="paragraph" w:styleId="EvropNorma">
    <w:name w:val="EvropNorma"/>
    <w:basedOn w:val="Textnormy"/>
    <w:qFormat/>
    <w:pPr>
      <w:pageBreakBefore/>
      <w:pBdr>
        <w:bottom w:val="single" w:sz="6" w:space="6" w:color="000000"/>
      </w:pBdr>
      <w:tabs>
        <w:tab w:val="clear" w:pos="709"/>
        <w:tab w:val="left" w:pos="8505" w:leader="none"/>
      </w:tabs>
      <w:jc w:val="start"/>
    </w:pPr>
    <w:rPr>
      <w:b/>
      <w:kern w:val="2"/>
      <w:sz w:val="24"/>
    </w:rPr>
  </w:style>
  <w:style w:type="paragraph" w:styleId="ICS">
    <w:name w:val="ICS"/>
    <w:basedOn w:val="Textnormy"/>
    <w:qFormat/>
    <w:pPr>
      <w:tabs>
        <w:tab w:val="clear" w:pos="709"/>
        <w:tab w:val="right" w:pos="9923" w:leader="none"/>
      </w:tabs>
      <w:spacing w:before="0" w:after="480"/>
    </w:pPr>
    <w:rPr>
      <w:kern w:val="2"/>
    </w:rPr>
  </w:style>
  <w:style w:type="paragraph" w:styleId="NzNorCZ">
    <w:name w:val="NázNorCZ"/>
    <w:basedOn w:val="Textnormy"/>
    <w:next w:val="NzNorUS"/>
    <w:qFormat/>
    <w:pPr>
      <w:suppressAutoHyphens w:val="true"/>
      <w:spacing w:before="0" w:after="240"/>
      <w:ind w:hanging="0" w:start="1134" w:end="1134"/>
      <w:jc w:val="center"/>
    </w:pPr>
    <w:rPr>
      <w:b/>
    </w:rPr>
  </w:style>
  <w:style w:type="paragraph" w:styleId="NzNorUS">
    <w:name w:val="NázNorUS"/>
    <w:basedOn w:val="Textnormy"/>
    <w:next w:val="NzNorFraGer"/>
    <w:qFormat/>
    <w:pPr>
      <w:suppressAutoHyphens w:val="true"/>
      <w:spacing w:before="0" w:after="240"/>
      <w:ind w:hanging="0" w:start="1134" w:end="1134"/>
      <w:jc w:val="center"/>
    </w:pPr>
    <w:rPr>
      <w:lang w:val="en-GB"/>
    </w:rPr>
  </w:style>
  <w:style w:type="paragraph" w:styleId="NzNorFraGer">
    <w:name w:val="NázNorFraGer"/>
    <w:basedOn w:val="Textnormy"/>
    <w:next w:val="Textnormy"/>
    <w:qFormat/>
    <w:pPr>
      <w:tabs>
        <w:tab w:val="clear" w:pos="709"/>
        <w:tab w:val="left" w:pos="4536" w:leader="none"/>
      </w:tabs>
      <w:suppressAutoHyphens w:val="true"/>
      <w:spacing w:before="0" w:after="480"/>
      <w:jc w:val="start"/>
    </w:pPr>
    <w:rPr/>
  </w:style>
  <w:style w:type="paragraph" w:styleId="Pidat4body">
    <w:name w:val="Přidat4body"/>
    <w:basedOn w:val="1StrNN-1-23"/>
    <w:qFormat/>
    <w:pPr>
      <w:spacing w:lineRule="exact" w:line="80" w:before="0" w:after="0"/>
      <w:ind w:hanging="0" w:start="0" w:end="0"/>
    </w:pPr>
    <w:rPr>
      <w:color w:val="FF0000"/>
      <w:sz w:val="8"/>
    </w:rPr>
  </w:style>
  <w:style w:type="paragraph" w:styleId="1StrNN-3-23">
    <w:name w:val="1StrNN-3-23"/>
    <w:basedOn w:val="1StrNN-1-23"/>
    <w:qFormat/>
    <w:pPr>
      <w:spacing w:before="300" w:after="0"/>
    </w:pPr>
    <w:rPr/>
  </w:style>
  <w:style w:type="paragraph" w:styleId="1StrNN-X">
    <w:name w:val="1StrNN-X"/>
    <w:basedOn w:val="1StrNN-1-23"/>
    <w:qFormat/>
    <w:pPr>
      <w:spacing w:before="180" w:after="180"/>
    </w:pPr>
    <w:rPr/>
  </w:style>
  <w:style w:type="paragraph" w:styleId="1StrNN-1-4">
    <w:name w:val="1StrNN-1-4"/>
    <w:basedOn w:val="1StrNN-1-23"/>
    <w:qFormat/>
    <w:pPr>
      <w:spacing w:before="800" w:after="0"/>
    </w:pPr>
    <w:rPr/>
  </w:style>
  <w:style w:type="paragraph" w:styleId="1StrNN-2-4">
    <w:name w:val="1StrNN-2-4"/>
    <w:basedOn w:val="1StrNN-1-23"/>
    <w:qFormat/>
    <w:pPr/>
    <w:rPr/>
  </w:style>
  <w:style w:type="paragraph" w:styleId="1StrNN-3-4">
    <w:name w:val="1StrNN-3-4"/>
    <w:basedOn w:val="1StrNN-1-23"/>
    <w:qFormat/>
    <w:pPr>
      <w:spacing w:before="460" w:after="0"/>
    </w:pPr>
    <w:rPr/>
  </w:style>
  <w:style w:type="paragraph" w:styleId="1StrNN-4-4">
    <w:name w:val="1StrNN-4-4"/>
    <w:basedOn w:val="1StrNN-1-23"/>
    <w:qFormat/>
    <w:pPr>
      <w:spacing w:before="340" w:after="0"/>
    </w:pPr>
    <w:rPr/>
  </w:style>
  <w:style w:type="paragraph" w:styleId="Poznmkavnorm">
    <w:name w:val="Poznámka v normě"/>
    <w:basedOn w:val="Textnormy"/>
    <w:next w:val="Textnormy"/>
    <w:qFormat/>
    <w:pPr>
      <w:spacing w:before="80" w:after="200"/>
    </w:pPr>
    <w:rPr>
      <w:sz w:val="18"/>
    </w:rPr>
  </w:style>
  <w:style w:type="paragraph" w:styleId="TextnormyUS">
    <w:name w:val="Text normy US"/>
    <w:basedOn w:val="Textnormy"/>
    <w:qFormat/>
    <w:pPr>
      <w:spacing w:before="0" w:after="0"/>
    </w:pPr>
    <w:rPr>
      <w:lang w:val="en-US" w:eastAsia="en-US"/>
    </w:rPr>
  </w:style>
  <w:style w:type="paragraph" w:styleId="ABCseznamCZ">
    <w:name w:val="ABC seznamCZ"/>
    <w:basedOn w:val="Textnormy"/>
    <w:qFormat/>
    <w:pPr>
      <w:numPr>
        <w:ilvl w:val="0"/>
        <w:numId w:val="17"/>
      </w:numPr>
    </w:pPr>
    <w:rPr/>
  </w:style>
  <w:style w:type="paragraph" w:styleId="Tir">
    <w:name w:val="Tiráž"/>
    <w:basedOn w:val="Normal"/>
    <w:qFormat/>
    <w:pPr/>
    <w:rPr>
      <w:sz w:val="16"/>
      <w:lang w:val="en-US" w:eastAsia="en-US"/>
    </w:rPr>
  </w:style>
  <w:style w:type="paragraph" w:styleId="1StrCopyright">
    <w:name w:val="1StrCopyright"/>
    <w:basedOn w:val="Footer"/>
    <w:qFormat/>
    <w:pPr>
      <w:tabs>
        <w:tab w:val="clear" w:pos="709"/>
        <w:tab w:val="left" w:pos="2155" w:leader="none"/>
        <w:tab w:val="right" w:pos="9923" w:leader="none"/>
      </w:tabs>
      <w:spacing w:before="0" w:after="0"/>
      <w:ind w:hanging="2126" w:start="2126" w:end="0"/>
      <w:jc w:val="start"/>
    </w:pPr>
    <w:rPr/>
  </w:style>
  <w:style w:type="paragraph" w:styleId="ABCSeznamUS">
    <w:name w:val="ABC SeznamUS"/>
    <w:basedOn w:val="Textnormy"/>
    <w:qFormat/>
    <w:pPr>
      <w:numPr>
        <w:ilvl w:val="0"/>
        <w:numId w:val="12"/>
      </w:numPr>
      <w:tabs>
        <w:tab w:val="clear" w:pos="709"/>
      </w:tabs>
    </w:pPr>
    <w:rPr>
      <w:lang w:val="en-US"/>
    </w:rPr>
  </w:style>
  <w:style w:type="paragraph" w:styleId="Textnormy1str">
    <w:name w:val="Text normy 1str"/>
    <w:basedOn w:val="Textnormy"/>
    <w:qFormat/>
    <w:pPr>
      <w:jc w:val="start"/>
    </w:pPr>
    <w:rPr/>
  </w:style>
  <w:style w:type="paragraph" w:styleId="1StrNN-4-3">
    <w:name w:val="1StrNN-4-3"/>
    <w:basedOn w:val="1StrNN-1-23"/>
    <w:qFormat/>
    <w:pPr>
      <w:spacing w:before="160" w:after="0"/>
    </w:pPr>
    <w:rPr/>
  </w:style>
  <w:style w:type="paragraph" w:styleId="Upozornn">
    <w:name w:val="Upozornění"/>
    <w:basedOn w:val="Normal"/>
    <w:qFormat/>
    <w:pPr>
      <w:jc w:val="both"/>
    </w:pPr>
    <w:rPr>
      <w:sz w:val="18"/>
    </w:rPr>
  </w:style>
  <w:style w:type="paragraph" w:styleId="AdresaHTML">
    <w:name w:val="Adresa HTML"/>
    <w:basedOn w:val="Normal"/>
    <w:qFormat/>
    <w:pPr/>
    <w:rPr>
      <w:i/>
      <w:iCs/>
    </w:rPr>
  </w:style>
  <w:style w:type="paragraph" w:styleId="EnvelopeAddress">
    <w:name w:val="envelope address"/>
    <w:basedOn w:val="Normal"/>
    <w:pPr>
      <w:ind w:hanging="0" w:start="2880" w:end="0"/>
    </w:pPr>
    <w:rPr>
      <w:rFonts w:cs="Arial"/>
      <w:sz w:val="24"/>
      <w:szCs w:val="24"/>
    </w:rPr>
  </w:style>
  <w:style w:type="paragraph" w:styleId="slovanseznam2">
    <w:name w:val="Číslovaný seznam 2"/>
    <w:basedOn w:val="Normal"/>
    <w:qFormat/>
    <w:pPr>
      <w:numPr>
        <w:ilvl w:val="0"/>
        <w:numId w:val="5"/>
      </w:numPr>
    </w:pPr>
    <w:rPr/>
  </w:style>
  <w:style w:type="paragraph" w:styleId="slovanseznam3">
    <w:name w:val="Číslovaný seznam 3"/>
    <w:basedOn w:val="Normal"/>
    <w:qFormat/>
    <w:pPr>
      <w:numPr>
        <w:ilvl w:val="0"/>
        <w:numId w:val="4"/>
      </w:numPr>
    </w:pPr>
    <w:rPr/>
  </w:style>
  <w:style w:type="paragraph" w:styleId="slovanseznam4">
    <w:name w:val="Číslovaný seznam 4"/>
    <w:basedOn w:val="Normal"/>
    <w:qFormat/>
    <w:pPr>
      <w:numPr>
        <w:ilvl w:val="0"/>
        <w:numId w:val="3"/>
      </w:numPr>
    </w:pPr>
    <w:rPr/>
  </w:style>
  <w:style w:type="paragraph" w:styleId="slovanseznam5">
    <w:name w:val="Číslovaný seznam 5"/>
    <w:basedOn w:val="Normal"/>
    <w:qFormat/>
    <w:pPr>
      <w:numPr>
        <w:ilvl w:val="0"/>
        <w:numId w:val="2"/>
      </w:numPr>
    </w:pPr>
    <w:rPr/>
  </w:style>
  <w:style w:type="paragraph" w:styleId="Datum">
    <w:name w:val="Datum"/>
    <w:basedOn w:val="Normal"/>
    <w:next w:val="Normal"/>
    <w:qFormat/>
    <w:pPr/>
    <w:rPr/>
  </w:style>
  <w:style w:type="paragraph" w:styleId="FormtovanvHTML">
    <w:name w:val="Formátovaný v HTML"/>
    <w:basedOn w:val="Normal"/>
    <w:qFormat/>
    <w:pPr/>
    <w:rPr>
      <w:rFonts w:ascii="Courier New" w:hAnsi="Courier New" w:cs="Courier New"/>
    </w:rPr>
  </w:style>
  <w:style w:type="paragraph" w:styleId="Nadpispoznmky">
    <w:name w:val="Nadpis poznámky"/>
    <w:basedOn w:val="Normal"/>
    <w:next w:val="Normal"/>
    <w:qFormat/>
    <w:pPr/>
    <w:rPr/>
  </w:style>
  <w:style w:type="paragraph" w:styleId="Normlnweb">
    <w:name w:val="Normální (web)"/>
    <w:basedOn w:val="Normal"/>
    <w:qFormat/>
    <w:pPr/>
    <w:rPr>
      <w:rFonts w:ascii="Times New Roman" w:hAnsi="Times New Roman" w:cs="Times New Roman"/>
      <w:sz w:val="24"/>
      <w:szCs w:val="24"/>
    </w:rPr>
  </w:style>
  <w:style w:type="paragraph" w:styleId="Normlnodsazen">
    <w:name w:val="Normální odsazený"/>
    <w:basedOn w:val="Normal"/>
    <w:qFormat/>
    <w:pPr>
      <w:ind w:hanging="0" w:start="708" w:end="0"/>
    </w:pPr>
    <w:rPr/>
  </w:style>
  <w:style w:type="paragraph" w:styleId="Osloven">
    <w:name w:val="Oslovení"/>
    <w:basedOn w:val="Normal"/>
    <w:next w:val="Normal"/>
    <w:qFormat/>
    <w:pPr/>
    <w:rPr/>
  </w:style>
  <w:style w:type="paragraph" w:styleId="Signature">
    <w:name w:val="Signature"/>
    <w:basedOn w:val="Normal"/>
    <w:pPr>
      <w:ind w:hanging="0" w:start="4252" w:end="0"/>
    </w:pPr>
    <w:rPr/>
  </w:style>
  <w:style w:type="paragraph" w:styleId="Podpise-mailu">
    <w:name w:val="Podpis e-mailu"/>
    <w:basedOn w:val="Normal"/>
    <w:qFormat/>
    <w:pPr/>
    <w:rPr/>
  </w:style>
  <w:style w:type="paragraph" w:styleId="Subtitle">
    <w:name w:val="Subtitle"/>
    <w:basedOn w:val="Normal"/>
    <w:next w:val="BodyText"/>
    <w:qFormat/>
    <w:pPr>
      <w:spacing w:before="0" w:after="60"/>
      <w:jc w:val="center"/>
      <w:outlineLvl w:val="1"/>
    </w:pPr>
    <w:rPr>
      <w:rFonts w:cs="Arial"/>
      <w:sz w:val="24"/>
      <w:szCs w:val="24"/>
    </w:rPr>
  </w:style>
  <w:style w:type="paragraph" w:styleId="Pokraovnseznamu">
    <w:name w:val="Pokračování seznamu"/>
    <w:basedOn w:val="Normal"/>
    <w:qFormat/>
    <w:pPr>
      <w:spacing w:before="0" w:after="120"/>
      <w:ind w:hanging="0" w:start="283" w:end="0"/>
    </w:pPr>
    <w:rPr/>
  </w:style>
  <w:style w:type="paragraph" w:styleId="Pokraovnseznamu2">
    <w:name w:val="Pokračování seznamu 2"/>
    <w:basedOn w:val="Normal"/>
    <w:qFormat/>
    <w:pPr>
      <w:spacing w:before="0" w:after="120"/>
      <w:ind w:hanging="0" w:start="566" w:end="0"/>
    </w:pPr>
    <w:rPr/>
  </w:style>
  <w:style w:type="paragraph" w:styleId="Pokraovnseznamu3">
    <w:name w:val="Pokračování seznamu 3"/>
    <w:basedOn w:val="Normal"/>
    <w:qFormat/>
    <w:pPr>
      <w:spacing w:before="0" w:after="120"/>
      <w:ind w:hanging="0" w:start="849" w:end="0"/>
    </w:pPr>
    <w:rPr/>
  </w:style>
  <w:style w:type="paragraph" w:styleId="Pokraovnseznamu4">
    <w:name w:val="Pokračování seznamu 4"/>
    <w:basedOn w:val="Normal"/>
    <w:qFormat/>
    <w:pPr>
      <w:spacing w:before="0" w:after="120"/>
      <w:ind w:hanging="0" w:start="1132" w:end="0"/>
    </w:pPr>
    <w:rPr/>
  </w:style>
  <w:style w:type="paragraph" w:styleId="Pokraovnseznamu5">
    <w:name w:val="Pokračování seznamu 5"/>
    <w:basedOn w:val="Normal"/>
    <w:qFormat/>
    <w:pPr>
      <w:spacing w:before="0" w:after="120"/>
      <w:ind w:hanging="0" w:start="1415" w:end="0"/>
    </w:pPr>
    <w:rPr/>
  </w:style>
  <w:style w:type="paragraph" w:styleId="Prosttext">
    <w:name w:val="Prostý text"/>
    <w:basedOn w:val="Normal"/>
    <w:qFormat/>
    <w:pPr/>
    <w:rPr>
      <w:rFonts w:ascii="Courier New" w:hAnsi="Courier New" w:cs="Courier New"/>
    </w:rPr>
  </w:style>
  <w:style w:type="paragraph" w:styleId="Seznam2">
    <w:name w:val="Seznam 2"/>
    <w:basedOn w:val="Normal"/>
    <w:qFormat/>
    <w:pPr>
      <w:ind w:hanging="283" w:start="566" w:end="0"/>
    </w:pPr>
    <w:rPr/>
  </w:style>
  <w:style w:type="paragraph" w:styleId="Seznam3">
    <w:name w:val="Seznam 3"/>
    <w:basedOn w:val="Normal"/>
    <w:qFormat/>
    <w:pPr>
      <w:ind w:hanging="283" w:start="849" w:end="0"/>
    </w:pPr>
    <w:rPr/>
  </w:style>
  <w:style w:type="paragraph" w:styleId="Seznam4">
    <w:name w:val="Seznam 4"/>
    <w:basedOn w:val="Normal"/>
    <w:qFormat/>
    <w:pPr>
      <w:ind w:hanging="283" w:start="1132" w:end="0"/>
    </w:pPr>
    <w:rPr/>
  </w:style>
  <w:style w:type="paragraph" w:styleId="Seznam5">
    <w:name w:val="Seznam 5"/>
    <w:basedOn w:val="Normal"/>
    <w:qFormat/>
    <w:pPr>
      <w:ind w:hanging="283" w:start="1415" w:end="0"/>
    </w:pPr>
    <w:rPr/>
  </w:style>
  <w:style w:type="paragraph" w:styleId="Seznamsodrkami">
    <w:name w:val="Seznam s odrážkami"/>
    <w:basedOn w:val="Normal"/>
    <w:qFormat/>
    <w:pPr>
      <w:numPr>
        <w:ilvl w:val="0"/>
        <w:numId w:val="10"/>
      </w:numPr>
    </w:pPr>
    <w:rPr/>
  </w:style>
  <w:style w:type="paragraph" w:styleId="Seznamsodrkami2">
    <w:name w:val="Seznam s odrážkami 2"/>
    <w:basedOn w:val="Normal"/>
    <w:qFormat/>
    <w:pPr>
      <w:numPr>
        <w:ilvl w:val="0"/>
        <w:numId w:val="9"/>
      </w:numPr>
    </w:pPr>
    <w:rPr/>
  </w:style>
  <w:style w:type="paragraph" w:styleId="Seznamsodrkami3">
    <w:name w:val="Seznam s odrážkami 3"/>
    <w:basedOn w:val="Normal"/>
    <w:qFormat/>
    <w:pPr>
      <w:numPr>
        <w:ilvl w:val="0"/>
        <w:numId w:val="8"/>
      </w:numPr>
    </w:pPr>
    <w:rPr/>
  </w:style>
  <w:style w:type="paragraph" w:styleId="Seznamsodrkami4">
    <w:name w:val="Seznam s odrážkami 4"/>
    <w:basedOn w:val="Normal"/>
    <w:qFormat/>
    <w:pPr>
      <w:numPr>
        <w:ilvl w:val="0"/>
        <w:numId w:val="7"/>
      </w:numPr>
      <w:spacing w:before="0" w:after="60"/>
      <w:ind w:hanging="357" w:start="1208" w:end="0"/>
      <w:jc w:val="both"/>
    </w:pPr>
    <w:rPr/>
  </w:style>
  <w:style w:type="paragraph" w:styleId="Seznamsodrkami5">
    <w:name w:val="Seznam s odrážkami 5"/>
    <w:basedOn w:val="Normal"/>
    <w:qFormat/>
    <w:pPr>
      <w:numPr>
        <w:ilvl w:val="0"/>
        <w:numId w:val="6"/>
      </w:numPr>
    </w:pPr>
    <w:rPr/>
  </w:style>
  <w:style w:type="paragraph" w:styleId="Textvbloku">
    <w:name w:val="Text v bloku"/>
    <w:basedOn w:val="Normal"/>
    <w:qFormat/>
    <w:pPr>
      <w:spacing w:before="0" w:after="120"/>
      <w:ind w:hanging="0" w:start="1440" w:end="1440"/>
    </w:pPr>
    <w:rPr/>
  </w:style>
  <w:style w:type="paragraph" w:styleId="Zhlavzprvy">
    <w:name w:val="Záhlaví zprávy"/>
    <w:basedOn w:val="Normal"/>
    <w:qFormat/>
    <w:pPr>
      <w:pBdr>
        <w:top w:val="single" w:sz="6" w:space="1" w:color="000000"/>
        <w:left w:val="single" w:sz="6" w:space="1" w:color="000000"/>
        <w:bottom w:val="single" w:sz="6" w:space="1" w:color="000000"/>
        <w:right w:val="single" w:sz="6" w:space="1" w:color="000000"/>
      </w:pBdr>
      <w:shd w:fill="CCCCCC" w:val="clear"/>
      <w:ind w:hanging="1134" w:start="1134" w:end="0"/>
    </w:pPr>
    <w:rPr>
      <w:rFonts w:cs="Arial"/>
      <w:sz w:val="24"/>
      <w:szCs w:val="24"/>
    </w:rPr>
  </w:style>
  <w:style w:type="paragraph" w:styleId="Zkladntext-prvnodsazen">
    <w:name w:val="Základní text - první odsazený"/>
    <w:basedOn w:val="BodyText"/>
    <w:qFormat/>
    <w:pPr>
      <w:ind w:firstLine="210" w:start="0" w:end="0"/>
    </w:pPr>
    <w:rPr/>
  </w:style>
  <w:style w:type="paragraph" w:styleId="BodyTextIndent">
    <w:name w:val="Body Text Indent"/>
    <w:basedOn w:val="Normal"/>
    <w:pPr>
      <w:spacing w:before="0" w:after="120"/>
      <w:ind w:hanging="0" w:start="283" w:end="0"/>
    </w:pPr>
    <w:rPr/>
  </w:style>
  <w:style w:type="paragraph" w:styleId="Zkladntext-prvnodsazen2">
    <w:name w:val="Základní text - první odsazený 2"/>
    <w:basedOn w:val="BodyTextIndent"/>
    <w:qFormat/>
    <w:pPr>
      <w:ind w:firstLine="210" w:start="283" w:end="0"/>
    </w:pPr>
    <w:rPr/>
  </w:style>
  <w:style w:type="paragraph" w:styleId="Zkladntext2">
    <w:name w:val="Základní text 2"/>
    <w:basedOn w:val="Normal"/>
    <w:qFormat/>
    <w:pPr>
      <w:spacing w:lineRule="auto" w:line="480" w:before="0" w:after="120"/>
    </w:pPr>
    <w:rPr/>
  </w:style>
  <w:style w:type="paragraph" w:styleId="Zkladntext3">
    <w:name w:val="Základní text 3"/>
    <w:basedOn w:val="Normal"/>
    <w:qFormat/>
    <w:pPr>
      <w:spacing w:before="0" w:after="120"/>
    </w:pPr>
    <w:rPr>
      <w:sz w:val="16"/>
      <w:szCs w:val="16"/>
    </w:rPr>
  </w:style>
  <w:style w:type="paragraph" w:styleId="Zkladntextodsazen2">
    <w:name w:val="Základní text odsazený 2"/>
    <w:basedOn w:val="Normal"/>
    <w:qFormat/>
    <w:pPr>
      <w:spacing w:lineRule="auto" w:line="480" w:before="0" w:after="120"/>
      <w:ind w:hanging="0" w:start="283" w:end="0"/>
    </w:pPr>
    <w:rPr/>
  </w:style>
  <w:style w:type="paragraph" w:styleId="Zkladntextodsazen3">
    <w:name w:val="Základní text odsazený 3"/>
    <w:basedOn w:val="Normal"/>
    <w:qFormat/>
    <w:pPr>
      <w:spacing w:before="0" w:after="120"/>
      <w:ind w:hanging="0" w:start="283" w:end="0"/>
    </w:pPr>
    <w:rPr>
      <w:sz w:val="16"/>
      <w:szCs w:val="16"/>
    </w:rPr>
  </w:style>
  <w:style w:type="paragraph" w:styleId="Zvr">
    <w:name w:val="Závěr"/>
    <w:basedOn w:val="Normal"/>
    <w:qFormat/>
    <w:pPr>
      <w:ind w:hanging="0" w:start="4252" w:end="0"/>
    </w:pPr>
    <w:rPr/>
  </w:style>
  <w:style w:type="paragraph" w:styleId="bibliografie">
    <w:name w:val="bibliografie"/>
    <w:basedOn w:val="slovanseznamvnorm"/>
    <w:next w:val="Textnormy"/>
    <w:qFormat/>
    <w:pPr>
      <w:numPr>
        <w:ilvl w:val="0"/>
        <w:numId w:val="13"/>
      </w:numPr>
      <w:ind w:hanging="567" w:start="567" w:end="0"/>
    </w:pPr>
    <w:rPr/>
  </w:style>
  <w:style w:type="paragraph" w:styleId="Textkomente">
    <w:name w:val="Text komentáře"/>
    <w:basedOn w:val="Normal"/>
    <w:qFormat/>
    <w:pPr/>
    <w:rPr>
      <w:lang w:val="en-US"/>
    </w:rPr>
  </w:style>
  <w:style w:type="paragraph" w:styleId="Pedmtkomente">
    <w:name w:val="Předmět komentáře"/>
    <w:basedOn w:val="Textkomente"/>
    <w:next w:val="Textkomente"/>
    <w:qFormat/>
    <w:pPr/>
    <w:rPr>
      <w:b/>
      <w:bCs/>
    </w:rPr>
  </w:style>
  <w:style w:type="paragraph" w:styleId="Textbubliny">
    <w:name w:val="Text bubliny"/>
    <w:basedOn w:val="Normal"/>
    <w:qFormat/>
    <w:pPr/>
    <w:rPr>
      <w:rFonts w:ascii="Tahoma" w:hAnsi="Tahoma" w:cs="Tahoma"/>
      <w:sz w:val="16"/>
      <w:szCs w:val="16"/>
      <w:lang w:val="en-US"/>
    </w:rPr>
  </w:style>
  <w:style w:type="paragraph" w:styleId="Default">
    <w:name w:val="Default"/>
    <w:qFormat/>
    <w:pPr>
      <w:widowControl/>
      <w:autoSpaceDE w:val="false"/>
      <w:bidi w:val="0"/>
    </w:pPr>
    <w:rPr>
      <w:rFonts w:ascii="Arial" w:hAnsi="Arial" w:eastAsia="Times New Roman" w:cs="Arial"/>
      <w:color w:val="000000"/>
      <w:sz w:val="24"/>
      <w:szCs w:val="24"/>
      <w:lang w:val="cs-CZ" w:bidi="ar-SA" w:eastAsia="zh-CN"/>
    </w:rPr>
  </w:style>
  <w:style w:type="paragraph" w:styleId="zzLc5">
    <w:name w:val="zzLc5"/>
    <w:basedOn w:val="Normal"/>
    <w:next w:val="Normal"/>
    <w:qFormat/>
    <w:pPr>
      <w:tabs>
        <w:tab w:val="clear" w:pos="709"/>
        <w:tab w:val="left" w:pos="1080" w:leader="none"/>
      </w:tabs>
    </w:pPr>
    <w:rPr/>
  </w:style>
  <w:style w:type="paragraph" w:styleId="zzLc6">
    <w:name w:val="zzLc6"/>
    <w:basedOn w:val="Normal"/>
    <w:next w:val="Normal"/>
    <w:qFormat/>
    <w:pPr>
      <w:tabs>
        <w:tab w:val="clear" w:pos="709"/>
        <w:tab w:val="left" w:pos="1440" w:leader="none"/>
      </w:tabs>
    </w:pPr>
    <w:rPr/>
  </w:style>
  <w:style w:type="paragraph" w:styleId="Figuretitle">
    <w:name w:val="Figure title"/>
    <w:basedOn w:val="Normal"/>
    <w:next w:val="Normal"/>
    <w:qFormat/>
    <w:pPr>
      <w:suppressAutoHyphens w:val="true"/>
      <w:spacing w:before="220" w:after="220"/>
      <w:jc w:val="center"/>
    </w:pPr>
    <w:rPr>
      <w:b/>
    </w:rPr>
  </w:style>
  <w:style w:type="paragraph" w:styleId="Nadpis">
    <w:name w:val="Nadpis"/>
    <w:basedOn w:val="Normal"/>
    <w:qFormat/>
    <w:pPr/>
    <w:rPr>
      <w:b/>
      <w:caps/>
      <w:sz w:val="28"/>
    </w:rPr>
  </w:style>
  <w:style w:type="paragraph" w:styleId="a2">
    <w:name w:val="a2"/>
    <w:basedOn w:val="Heading2"/>
    <w:next w:val="Normal"/>
    <w:qFormat/>
    <w:pPr>
      <w:keepLines w:val="false"/>
      <w:numPr>
        <w:ilvl w:val="0"/>
        <w:numId w:val="0"/>
      </w:numPr>
      <w:tabs>
        <w:tab w:val="clear" w:pos="709"/>
        <w:tab w:val="left" w:pos="360" w:leader="none"/>
        <w:tab w:val="left" w:pos="500" w:leader="none"/>
        <w:tab w:val="left" w:pos="720" w:leader="none"/>
      </w:tabs>
      <w:spacing w:lineRule="exact" w:line="270" w:before="270" w:after="240"/>
      <w:outlineLvl w:val="9"/>
    </w:pPr>
    <w:rPr>
      <w:rFonts w:eastAsia="MS Mincho;ＭＳ 明朝"/>
      <w:sz w:val="24"/>
      <w:lang w:val="en-GB" w:eastAsia="ja-JP"/>
    </w:rPr>
  </w:style>
  <w:style w:type="paragraph" w:styleId="a3">
    <w:name w:val="a3"/>
    <w:basedOn w:val="Heading3"/>
    <w:next w:val="Normal"/>
    <w:qFormat/>
    <w:pPr>
      <w:keepLines w:val="false"/>
      <w:numPr>
        <w:ilvl w:val="0"/>
        <w:numId w:val="0"/>
      </w:numPr>
      <w:tabs>
        <w:tab w:val="clear" w:pos="709"/>
        <w:tab w:val="left" w:pos="640" w:leader="none"/>
        <w:tab w:val="left" w:pos="720" w:leader="none"/>
        <w:tab w:val="left" w:pos="880" w:leader="none"/>
      </w:tabs>
      <w:spacing w:lineRule="exact" w:line="250" w:before="60" w:after="240"/>
      <w:outlineLvl w:val="9"/>
    </w:pPr>
    <w:rPr>
      <w:rFonts w:eastAsia="MS Mincho;ＭＳ 明朝"/>
      <w:sz w:val="22"/>
      <w:lang w:val="en-GB" w:eastAsia="ja-JP"/>
    </w:rPr>
  </w:style>
  <w:style w:type="paragraph" w:styleId="a4">
    <w:name w:val="a4"/>
    <w:basedOn w:val="Heading4"/>
    <w:next w:val="Normal"/>
    <w:qFormat/>
    <w:pPr>
      <w:keepLines w:val="false"/>
      <w:numPr>
        <w:ilvl w:val="0"/>
        <w:numId w:val="0"/>
      </w:numPr>
      <w:tabs>
        <w:tab w:val="clear" w:pos="709"/>
        <w:tab w:val="left" w:pos="880" w:leader="none"/>
        <w:tab w:val="left" w:pos="1080" w:leader="none"/>
      </w:tabs>
      <w:spacing w:lineRule="exact" w:line="230" w:before="60" w:after="240"/>
      <w:outlineLvl w:val="9"/>
    </w:pPr>
    <w:rPr>
      <w:rFonts w:eastAsia="MS Mincho;ＭＳ 明朝"/>
      <w:lang w:val="en-GB" w:eastAsia="ja-JP"/>
    </w:rPr>
  </w:style>
  <w:style w:type="paragraph" w:styleId="a5">
    <w:name w:val="a5"/>
    <w:basedOn w:val="Heading5"/>
    <w:next w:val="Normal"/>
    <w:qFormat/>
    <w:pPr>
      <w:keepLines w:val="false"/>
      <w:numPr>
        <w:ilvl w:val="0"/>
        <w:numId w:val="0"/>
      </w:numPr>
      <w:tabs>
        <w:tab w:val="clear" w:pos="709"/>
        <w:tab w:val="left" w:pos="1080" w:leader="none"/>
        <w:tab w:val="left" w:pos="1140" w:leader="none"/>
        <w:tab w:val="left" w:pos="1360" w:leader="none"/>
      </w:tabs>
      <w:spacing w:lineRule="exact" w:line="230" w:before="60" w:after="240"/>
      <w:outlineLvl w:val="9"/>
    </w:pPr>
    <w:rPr>
      <w:rFonts w:eastAsia="MS Mincho;ＭＳ 明朝"/>
      <w:lang w:val="en-GB" w:eastAsia="ja-JP"/>
    </w:rPr>
  </w:style>
  <w:style w:type="paragraph" w:styleId="a6">
    <w:name w:val="a6"/>
    <w:basedOn w:val="Heading6"/>
    <w:next w:val="Normal"/>
    <w:qFormat/>
    <w:pPr>
      <w:keepLines w:val="false"/>
      <w:numPr>
        <w:ilvl w:val="0"/>
        <w:numId w:val="0"/>
      </w:numPr>
      <w:tabs>
        <w:tab w:val="clear" w:pos="709"/>
        <w:tab w:val="left" w:pos="1140" w:leader="none"/>
        <w:tab w:val="left" w:pos="1360" w:leader="none"/>
        <w:tab w:val="left" w:pos="1440" w:leader="none"/>
      </w:tabs>
      <w:spacing w:lineRule="exact" w:line="230" w:before="60" w:after="240"/>
      <w:outlineLvl w:val="9"/>
    </w:pPr>
    <w:rPr>
      <w:rFonts w:eastAsia="MS Mincho;ＭＳ 明朝"/>
      <w:lang w:val="en-GB" w:eastAsia="ja-JP"/>
    </w:rPr>
  </w:style>
  <w:style w:type="paragraph" w:styleId="ANNEX">
    <w:name w:val="ANNEX"/>
    <w:basedOn w:val="Normal"/>
    <w:next w:val="Normal"/>
    <w:qFormat/>
    <w:pPr>
      <w:keepNext w:val="true"/>
      <w:pageBreakBefore/>
      <w:spacing w:lineRule="exact" w:line="310" w:before="0" w:after="760"/>
      <w:jc w:val="center"/>
      <w:outlineLvl w:val="0"/>
    </w:pPr>
    <w:rPr>
      <w:b/>
      <w:sz w:val="28"/>
    </w:rPr>
  </w:style>
  <w:style w:type="paragraph" w:styleId="Definition">
    <w:name w:val="Definition"/>
    <w:basedOn w:val="Normal"/>
    <w:next w:val="Normal"/>
    <w:qFormat/>
    <w:pPr/>
    <w:rPr/>
  </w:style>
  <w:style w:type="paragraph" w:styleId="Note">
    <w:name w:val="Note"/>
    <w:basedOn w:val="Normal"/>
    <w:next w:val="Normal"/>
    <w:qFormat/>
    <w:pPr>
      <w:tabs>
        <w:tab w:val="clear" w:pos="709"/>
        <w:tab w:val="left" w:pos="960" w:leader="none"/>
      </w:tabs>
      <w:spacing w:lineRule="atLeast" w:line="210"/>
    </w:pPr>
    <w:rPr>
      <w:sz w:val="18"/>
    </w:rPr>
  </w:style>
  <w:style w:type="paragraph" w:styleId="Terms">
    <w:name w:val="Term(s)"/>
    <w:basedOn w:val="Normal"/>
    <w:next w:val="Definition"/>
    <w:qFormat/>
    <w:pPr>
      <w:keepNext w:val="true"/>
      <w:suppressAutoHyphens w:val="true"/>
    </w:pPr>
    <w:rPr>
      <w:b/>
    </w:rPr>
  </w:style>
  <w:style w:type="paragraph" w:styleId="TermNum">
    <w:name w:val="TermNum"/>
    <w:basedOn w:val="Normal"/>
    <w:next w:val="Terms"/>
    <w:qFormat/>
    <w:pPr>
      <w:keepNext w:val="true"/>
    </w:pPr>
    <w:rPr>
      <w:b/>
    </w:rPr>
  </w:style>
  <w:style w:type="paragraph" w:styleId="Tabletitle">
    <w:name w:val="Table title"/>
    <w:basedOn w:val="Normal"/>
    <w:next w:val="Normal"/>
    <w:qFormat/>
    <w:pPr>
      <w:keepNext w:val="true"/>
      <w:suppressAutoHyphens w:val="true"/>
      <w:spacing w:lineRule="exact" w:line="230" w:before="120" w:after="120"/>
      <w:jc w:val="center"/>
    </w:pPr>
    <w:rPr>
      <w:rFonts w:eastAsia="MS Mincho;ＭＳ 明朝"/>
      <w:b/>
      <w:lang w:val="en-GB" w:eastAsia="ja-JP"/>
    </w:rPr>
  </w:style>
  <w:style w:type="paragraph" w:styleId="Tabletext10">
    <w:name w:val="Table text (10)"/>
    <w:basedOn w:val="Normal"/>
    <w:qFormat/>
    <w:pPr>
      <w:spacing w:lineRule="atLeast" w:line="230" w:before="60" w:after="60"/>
      <w:jc w:val="both"/>
    </w:pPr>
    <w:rPr>
      <w:rFonts w:eastAsia="MS Mincho;ＭＳ 明朝"/>
      <w:lang w:val="en-GB" w:eastAsia="ja-JP"/>
    </w:rPr>
  </w:style>
  <w:style w:type="paragraph" w:styleId="Tabelle">
    <w:name w:val="Tabelle"/>
    <w:basedOn w:val="BodyText"/>
    <w:qFormat/>
    <w:pPr>
      <w:tabs>
        <w:tab w:val="clear" w:pos="709"/>
        <w:tab w:val="left" w:pos="6946" w:leader="none"/>
      </w:tabs>
      <w:spacing w:before="60" w:after="60"/>
    </w:pPr>
    <w:rPr>
      <w:rFonts w:cs="Arial"/>
      <w:lang w:val="en-GB"/>
    </w:rPr>
  </w:style>
  <w:style w:type="paragraph" w:styleId="TabelleKopf">
    <w:name w:val="Tabelle Kopf"/>
    <w:basedOn w:val="Tabelle"/>
    <w:next w:val="Tabelle"/>
    <w:qFormat/>
    <w:pPr/>
    <w:rPr>
      <w:b/>
      <w:bCs/>
    </w:rPr>
  </w:style>
  <w:style w:type="paragraph" w:styleId="Tabletext8">
    <w:name w:val="Table text (8)"/>
    <w:basedOn w:val="Normal"/>
    <w:qFormat/>
    <w:pPr>
      <w:spacing w:lineRule="atLeast" w:line="190" w:before="60" w:after="60"/>
      <w:jc w:val="both"/>
    </w:pPr>
    <w:rPr>
      <w:rFonts w:eastAsia="MS Mincho;ＭＳ 明朝"/>
      <w:sz w:val="16"/>
      <w:lang w:val="en-GB" w:eastAsia="ja-JP"/>
    </w:rPr>
  </w:style>
  <w:style w:type="paragraph" w:styleId="zzLn5">
    <w:name w:val="zzLn5"/>
    <w:basedOn w:val="Normal"/>
    <w:next w:val="Normal"/>
    <w:qFormat/>
    <w:pPr>
      <w:tabs>
        <w:tab w:val="clear" w:pos="709"/>
        <w:tab w:val="left" w:pos="3240" w:leader="none"/>
      </w:tabs>
      <w:spacing w:lineRule="atLeast" w:line="230" w:before="0" w:after="240"/>
    </w:pPr>
    <w:rPr>
      <w:rFonts w:eastAsia="MS Mincho;ＭＳ 明朝"/>
      <w:lang w:val="en-GB" w:eastAsia="ja-JP"/>
    </w:rPr>
  </w:style>
  <w:style w:type="paragraph" w:styleId="zzLn6">
    <w:name w:val="zzLn6"/>
    <w:basedOn w:val="Normal"/>
    <w:next w:val="Normal"/>
    <w:qFormat/>
    <w:pPr>
      <w:tabs>
        <w:tab w:val="clear" w:pos="709"/>
        <w:tab w:val="left" w:pos="3960" w:leader="none"/>
      </w:tabs>
      <w:spacing w:lineRule="atLeast" w:line="230" w:before="0" w:after="240"/>
    </w:pPr>
    <w:rPr>
      <w:rFonts w:eastAsia="MS Mincho;ＭＳ 明朝"/>
      <w:lang w:val="en-GB" w:eastAsia="ja-JP"/>
    </w:rPr>
  </w:style>
  <w:style w:type="paragraph" w:styleId="Example">
    <w:name w:val="Example"/>
    <w:basedOn w:val="Normal"/>
    <w:next w:val="Normal"/>
    <w:qFormat/>
    <w:pPr>
      <w:tabs>
        <w:tab w:val="clear" w:pos="709"/>
        <w:tab w:val="left" w:pos="1360" w:leader="none"/>
      </w:tabs>
      <w:spacing w:lineRule="atLeast" w:line="210" w:before="0" w:after="240"/>
      <w:jc w:val="both"/>
    </w:pPr>
    <w:rPr>
      <w:rFonts w:eastAsia="MS Mincho;ＭＳ 明朝"/>
      <w:sz w:val="18"/>
      <w:lang w:val="en-GB" w:eastAsia="ja-JP"/>
    </w:rPr>
  </w:style>
  <w:style w:type="paragraph" w:styleId="H6">
    <w:name w:val="H6"/>
    <w:basedOn w:val="Heading5"/>
    <w:next w:val="Normal"/>
    <w:qFormat/>
    <w:pPr>
      <w:numPr>
        <w:ilvl w:val="0"/>
        <w:numId w:val="0"/>
      </w:numPr>
      <w:suppressAutoHyphens w:val="false"/>
      <w:overflowPunct w:val="false"/>
      <w:autoSpaceDE w:val="false"/>
      <w:spacing w:before="120" w:after="180"/>
      <w:ind w:hanging="1985" w:start="1985" w:end="0"/>
      <w:textAlignment w:val="baseline"/>
      <w:outlineLvl w:val="9"/>
    </w:pPr>
    <w:rPr>
      <w:b w:val="false"/>
      <w:lang w:val="en-GB"/>
    </w:rPr>
  </w:style>
  <w:style w:type="paragraph" w:styleId="TAL">
    <w:name w:val="TAL"/>
    <w:basedOn w:val="Normal"/>
    <w:qFormat/>
    <w:pPr>
      <w:keepNext w:val="true"/>
      <w:keepLines/>
      <w:overflowPunct w:val="false"/>
      <w:autoSpaceDE w:val="false"/>
      <w:textAlignment w:val="baseline"/>
    </w:pPr>
    <w:rPr>
      <w:sz w:val="18"/>
      <w:lang w:val="en-GB"/>
    </w:rPr>
  </w:style>
  <w:style w:type="paragraph" w:styleId="TAC">
    <w:name w:val="TAC"/>
    <w:basedOn w:val="TAL"/>
    <w:qFormat/>
    <w:pPr>
      <w:jc w:val="center"/>
    </w:pPr>
    <w:rPr/>
  </w:style>
  <w:style w:type="paragraph" w:styleId="TAH">
    <w:name w:val="TAH"/>
    <w:basedOn w:val="TAC"/>
    <w:qFormat/>
    <w:pPr/>
    <w:rPr>
      <w:b/>
    </w:rPr>
  </w:style>
  <w:style w:type="paragraph" w:styleId="Normal1">
    <w:name w:val="Normal1"/>
    <w:basedOn w:val="Normal"/>
    <w:qFormat/>
    <w:pPr>
      <w:overflowPunct w:val="false"/>
      <w:autoSpaceDE w:val="false"/>
      <w:spacing w:before="0" w:after="180"/>
      <w:textAlignment w:val="baseline"/>
    </w:pPr>
    <w:rPr>
      <w:rFonts w:ascii="Times New Roman" w:hAnsi="Times New Roman" w:cs="Times New Roman"/>
      <w:lang w:val="en-GB"/>
    </w:rPr>
  </w:style>
  <w:style w:type="paragraph" w:styleId="TH">
    <w:name w:val="TH"/>
    <w:basedOn w:val="Normal"/>
    <w:next w:val="Normal"/>
    <w:qFormat/>
    <w:pPr>
      <w:keepNext w:val="true"/>
      <w:keepLines/>
      <w:overflowPunct w:val="false"/>
      <w:autoSpaceDE w:val="false"/>
      <w:spacing w:before="60" w:after="180"/>
      <w:jc w:val="center"/>
      <w:textAlignment w:val="baseline"/>
    </w:pPr>
    <w:rPr>
      <w:b/>
      <w:lang w:val="en-GB" w:eastAsia="en-US"/>
    </w:rPr>
  </w:style>
  <w:style w:type="paragraph" w:styleId="zzBiblio">
    <w:name w:val="zzBiblio"/>
    <w:basedOn w:val="Normal"/>
    <w:next w:val="Normal"/>
    <w:qFormat/>
    <w:pPr>
      <w:pageBreakBefore/>
      <w:spacing w:lineRule="exact" w:line="310" w:before="0" w:after="760"/>
      <w:jc w:val="center"/>
    </w:pPr>
    <w:rPr>
      <w:rFonts w:eastAsia="MS Mincho;ＭＳ 明朝"/>
      <w:b/>
      <w:sz w:val="28"/>
      <w:lang w:val="en-GB" w:eastAsia="ja-JP"/>
    </w:rPr>
  </w:style>
  <w:style w:type="paragraph" w:styleId="Odstavecseseznamem">
    <w:name w:val="Odstavec se seznamem"/>
    <w:basedOn w:val="Normal"/>
    <w:qFormat/>
    <w:pPr>
      <w:widowControl w:val="false"/>
      <w:spacing w:before="0" w:after="0"/>
      <w:ind w:hanging="0" w:start="720" w:end="0"/>
      <w:contextualSpacing/>
    </w:pPr>
    <w:rPr>
      <w:rFonts w:ascii="Times New Roman" w:hAnsi="Times New Roman" w:cs="Times New Roman"/>
      <w:color w:val="000000"/>
    </w:rPr>
  </w:style>
  <w:style w:type="paragraph" w:styleId="Standard">
    <w:name w:val="Standard"/>
    <w:qFormat/>
    <w:pPr>
      <w:widowControl/>
      <w:suppressAutoHyphens w:val="true"/>
      <w:bidi w:val="0"/>
      <w:spacing w:before="0" w:after="120"/>
      <w:jc w:val="both"/>
      <w:textAlignment w:val="baseline"/>
    </w:pPr>
    <w:rPr>
      <w:rFonts w:ascii="Arial" w:hAnsi="Arial" w:eastAsia="Arial" w:cs="Arial"/>
      <w:color w:val="auto"/>
      <w:kern w:val="2"/>
      <w:sz w:val="22"/>
      <w:szCs w:val="22"/>
      <w:lang w:val="cs-CZ" w:bidi="ar-SA" w:eastAsia="zh-CN"/>
    </w:rPr>
  </w:style>
  <w:style w:type="paragraph" w:styleId="ListParagraph">
    <w:name w:val="List Paragraph"/>
    <w:basedOn w:val="Normal"/>
    <w:qFormat/>
    <w:pPr>
      <w:suppressAutoHyphens w:val="true"/>
      <w:spacing w:lineRule="auto" w:line="276" w:before="0" w:after="200"/>
      <w:ind w:hanging="0" w:start="720" w:end="0"/>
    </w:pPr>
    <w:rPr>
      <w:rFonts w:ascii="Calibri" w:hAnsi="Calibri" w:eastAsia="SimSun;宋体" w:cs=";Times New Roman"/>
      <w:sz w:val="22"/>
      <w:szCs w:val="22"/>
      <w:lang w:val="sk-SK"/>
    </w:rPr>
  </w:style>
  <w:style w:type="paragraph" w:styleId="Special">
    <w:name w:val="Special"/>
    <w:basedOn w:val="Normal"/>
    <w:next w:val="Normal"/>
    <w:qFormat/>
    <w:pPr>
      <w:spacing w:lineRule="atLeast" w:line="230" w:before="0" w:after="240"/>
      <w:jc w:val="both"/>
    </w:pPr>
    <w:rPr>
      <w:rFonts w:eastAsia="Arial Unicode MS"/>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StyleNum">
    <w:name w:val="WW8StyleNum"/>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Normy15f.dot</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2018-05-04T14:01:00Z</dcterms:created>
  <dc:creator>Koutska Mila</dc:creator>
  <dc:description/>
  <dc:language>en-US</dc:language>
  <cp:lastModifiedBy>LenS</cp:lastModifiedBy>
  <cp:lastPrinted>2017-02-17T15:02:00Z</cp:lastPrinted>
  <dcterms:modified xsi:type="dcterms:W3CDTF">2018-05-04T14:01:00Z</dcterms:modified>
  <cp:revision>2</cp:revision>
  <dc:subject/>
  <dc:title>1996</dc:title>
</cp:coreProperties>
</file>