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background w:color="FFFFFF"/>
  <w:body>
    <w:p w:rsidR="00000000" w:rsidDel="00000000" w:rsidP="00000000" w:rsidRDefault="00000000" w:rsidRPr="00000000">
      <w:pPr>
        <w:widowControl w:val="0"/>
        <w:pBdr/>
        <w:tabs>
          <w:tab w:val="left" w:pos="7080"/>
          <w:tab w:val="right" w:pos="9923"/>
        </w:tabs>
        <w:spacing w:after="60" w:before="0" w:line="240" w:lineRule="auto"/>
        <w:contextualSpacing w:val="0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sz w:val="40"/>
          <w:szCs w:val="40"/>
          <w:vertAlign w:val="baseline"/>
          <w:rtl w:val="0"/>
        </w:rPr>
        <w:t xml:space="preserve">EXTRAKT z technické specifikace ISO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vertAlign w:val="baseline"/>
          <w:rtl w:val="0"/>
        </w:rPr>
        <w:t xml:space="preserve">Extrakt nenahrazuje samotnou technickou normu, je pouze informativním materiálem o normě.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0"/>
        <w:pBdr/>
        <w:tabs>
          <w:tab w:val="left" w:pos="7080"/>
          <w:tab w:val="right" w:pos="9923"/>
        </w:tabs>
        <w:spacing w:after="6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16"/>
          <w:szCs w:val="16"/>
          <w:vertAlign w:val="baseline"/>
          <w:rtl w:val="0"/>
        </w:rPr>
        <w:t xml:space="preserve">ICS 35.240.60; 03.220.20</w:t>
        <w:tab/>
      </w:r>
      <w:r w:rsidDel="00000000" w:rsidR="00000000" w:rsidRPr="00000000">
        <w:rPr>
          <w:rtl w:val="0"/>
        </w:rPr>
      </w:r>
    </w:p>
    <w:tbl>
      <w:tblPr>
        <w:tblStyle w:val="Table1"/>
        <w:bidiVisual w:val="0"/>
        <w:tblW w:w="9923.0" w:type="dxa"/>
        <w:jc w:val="left"/>
        <w:tblLayout w:type="fixed"/>
        <w:tblLook w:val="0000"/>
      </w:tblPr>
      <w:tblGrid>
        <w:gridCol w:w="7371"/>
        <w:gridCol w:w="2552"/>
        <w:tblGridChange w:id="0">
          <w:tblGrid>
            <w:gridCol w:w="7371"/>
            <w:gridCol w:w="2552"/>
          </w:tblGrid>
        </w:tblGridChange>
      </w:tblGrid>
      <w:tr>
        <w:trPr>
          <w:trHeight w:val="1700" w:hRule="atLeast"/>
        </w:trPr>
        <w:tc>
          <w:tcPr>
            <w:tcBorders>
              <w:top w:color="000000" w:space="0" w:sz="12" w:val="single"/>
              <w:bottom w:color="000000" w:space="0" w:sz="12" w:val="single"/>
            </w:tcBorders>
            <w:shd w:fill="ffffff"/>
          </w:tcPr>
          <w:p w:rsidR="00000000" w:rsidDel="00000000" w:rsidP="00000000" w:rsidRDefault="00000000" w:rsidRPr="00000000">
            <w:pPr>
              <w:widowControl w:val="1"/>
              <w:pBdr/>
              <w:spacing w:after="0" w:before="180" w:line="240" w:lineRule="auto"/>
              <w:contextualSpacing w:val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sz w:val="32"/>
                <w:szCs w:val="32"/>
                <w:vertAlign w:val="baseline"/>
                <w:rtl w:val="0"/>
              </w:rPr>
              <w:t xml:space="preserve">Elektronický výběr poplatků (EFC) – </w:t>
              <w:br w:type="textWrapping"/>
              <w:t xml:space="preserve">Posouzení shody zařízení s ISO/TS 17575-3 – </w:t>
              <w:br w:type="textWrapping"/>
              <w:t xml:space="preserve">Část 2: Abstraktní sestava zkoušek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bottom w:color="000000" w:space="0" w:sz="12" w:val="single"/>
            </w:tcBorders>
            <w:shd w:fill="ffffff"/>
          </w:tcPr>
          <w:p w:rsidR="00000000" w:rsidDel="00000000" w:rsidP="00000000" w:rsidRDefault="00000000" w:rsidRPr="00000000">
            <w:pPr>
              <w:widowControl w:val="1"/>
              <w:pBdr/>
              <w:spacing w:after="0" w:before="180" w:line="240" w:lineRule="auto"/>
              <w:contextualSpacing w:val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sz w:val="32"/>
                <w:szCs w:val="32"/>
                <w:vertAlign w:val="baseline"/>
                <w:rtl w:val="0"/>
              </w:rPr>
              <w:br w:type="textWrapping"/>
              <w:t xml:space="preserve">ČSN P</w:t>
              <w:br w:type="textWrapping"/>
              <w:t xml:space="preserve">CEN ISO/TS</w:t>
              <w:br w:type="textWrapping"/>
              <w:t xml:space="preserve">16410-2</w:t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>
      <w:pPr>
        <w:keepNext w:val="1"/>
        <w:keepLines w:val="1"/>
        <w:widowControl w:val="1"/>
        <w:pBdr/>
        <w:tabs>
          <w:tab w:val="left" w:pos="7920"/>
        </w:tabs>
        <w:spacing w:after="360" w:before="240" w:line="240" w:lineRule="auto"/>
        <w:contextualSpacing w:val="0"/>
        <w:jc w:val="right"/>
        <w:rPr/>
      </w:pPr>
      <w:r w:rsidDel="00000000" w:rsidR="00000000" w:rsidRPr="00000000">
        <w:rPr>
          <w:rFonts w:ascii="Arial" w:cs="Arial" w:eastAsia="Arial" w:hAnsi="Arial"/>
          <w:b w:val="0"/>
          <w:sz w:val="28"/>
          <w:szCs w:val="28"/>
          <w:vertAlign w:val="baseline"/>
          <w:rtl w:val="0"/>
        </w:rPr>
        <w:t xml:space="preserve">Vydána 2012, 12 stran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vertAlign w:val="baseline"/>
          <w:rtl w:val="0"/>
        </w:rPr>
        <w:t xml:space="preserve">Úvod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Technická specifikace 16410-2 patří do skupiny normativních dokumentů umožňujících zavedení interoperabilních autonomních mýtných systémů. Důležitou součástí této skupiny jsou technické specifikace 17575 části 1 – 4 popisující datové struktury a způsob komunikace v rámci systému poskytovatele služby (Service Provider). Technická specifikace 17575 část 3 je zaměřena na popis datových struktur, prostřednictvím kterých je definován způsob výběru mýta v konkrétní oblasti, tarify i vlastní definice zpoplatněných objektů.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>
        <w:rPr>
          <w:rFonts w:ascii="Arial" w:cs="Arial" w:eastAsia="Arial" w:hAnsi="Arial"/>
          <w:sz w:val="20"/>
          <w:szCs w:val="20"/>
          <w:vertAlign w:val="baseline"/>
          <w:rtl w:val="0"/>
        </w:rPr>
        <w:t xml:space="preserve">Poznámka: Extrakt uvádí vybrané kapitoly popisovaného dokumentu a přejímá původní číslování kapitol.</w:t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vertAlign w:val="baseline"/>
          <w:rtl w:val="0"/>
        </w:rPr>
        <w:t xml:space="preserve">Užití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Tato technická specifikace je určena jako návod </w:t>
      </w:r>
      <w:r w:rsidDel="00000000" w:rsidR="00000000" w:rsidRPr="00000000">
        <w:rPr>
          <w:rtl w:val="0"/>
        </w:rPr>
        <w:t xml:space="preserve">posouzení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shody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autonomní mýtné palubní jednotky a centrálního systému s technickou specifikací 17575-3 jak z pohledu podporovaných schopností, tak z pohledu chování. Na základě výsledků zkoušek lze udělit schválení typu. Uživateli jsou technici, kteří implementují software pro mýtné jednotky, a pracovníci zkušebních laboratoří.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vertAlign w:val="baseline"/>
          <w:rtl w:val="0"/>
        </w:rPr>
        <w:t xml:space="preserve">1 Předmět normy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Tato norma definuje abstraktní sestavu zkoušek (ATS) pro posouzení shody koncového zařízení a centrálního zařízení s požadavky ISO/TS 17575-3.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Cílem je poskytnout základ pro zkoušení shody koncových a centrálních zařízení v systému elektronického výběru poplatků, který se zakládá na autonomním palubním zařízení (OBE); tento základ umožní interoperabilitu mezi různými zařízeními od různých výrobců.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vertAlign w:val="baseline"/>
          <w:rtl w:val="0"/>
        </w:rPr>
        <w:t xml:space="preserve">2 Souvisící normy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vertAlign w:val="baseline"/>
          <w:rtl w:val="0"/>
        </w:rPr>
        <w:t xml:space="preserv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Tato technická specifikace souvisí s následujícími normativními dokumenty: ISO/TS 17575-3 Definice </w:t>
      </w:r>
      <w:r w:rsidDel="00000000" w:rsidR="00000000" w:rsidRPr="00000000">
        <w:rPr>
          <w:rtl w:val="0"/>
        </w:rPr>
        <w:t xml:space="preserve">aplikačního rozhraní pro autonomní mýtné systémy,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 část 3: Kon</w:t>
      </w:r>
      <w:r w:rsidDel="00000000" w:rsidR="00000000" w:rsidRPr="00000000">
        <w:rPr>
          <w:rtl w:val="0"/>
        </w:rPr>
        <w:t xml:space="preserve">textová data,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 ISO/IEC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9646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 Propojení otev</w:t>
      </w:r>
      <w:r w:rsidDel="00000000" w:rsidR="00000000" w:rsidRPr="00000000">
        <w:rPr>
          <w:rtl w:val="0"/>
        </w:rPr>
        <w:t xml:space="preserve">řených systémů (OSI), Metodologie posuzování shody.</w:t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vertAlign w:val="baseline"/>
          <w:rtl w:val="0"/>
        </w:rPr>
        <w:t xml:space="preserve">3 Termíny a definice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Tato technická specifikace definuje čtyři termíny.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>
        <w:rPr>
          <w:rFonts w:ascii="Arial" w:cs="Arial" w:eastAsia="Arial" w:hAnsi="Arial"/>
          <w:sz w:val="20"/>
          <w:szCs w:val="20"/>
          <w:vertAlign w:val="baseline"/>
          <w:rtl w:val="0"/>
        </w:rPr>
        <w:t xml:space="preserve">Další termíny a zkratky z oboru ITS jsou obsaženy ve slovníku ITS terminology.</w:t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vertAlign w:val="baseline"/>
          <w:rtl w:val="0"/>
        </w:rPr>
        <w:t xml:space="preserve">4 Symboly a zkratky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Tato kapitola obsahuje 9 zkratek, například: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DUT – zkoušené zařízení 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vertAlign w:val="baseline"/>
          <w:rtl w:val="0"/>
        </w:rPr>
        <w:t xml:space="preserve">(Device Under Tests)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IUT – zkoušená implementace 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vertAlign w:val="baseline"/>
          <w:rtl w:val="0"/>
        </w:rPr>
        <w:t xml:space="preserve">(Implementation </w:t>
      </w:r>
      <w:r w:rsidDel="00000000" w:rsidR="00000000" w:rsidRPr="00000000">
        <w:rPr>
          <w:i w:val="1"/>
          <w:rtl w:val="0"/>
        </w:rPr>
        <w:t xml:space="preserve">U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vertAlign w:val="baseline"/>
          <w:rtl w:val="0"/>
        </w:rPr>
        <w:t xml:space="preserve">nder </w:t>
      </w:r>
      <w:r w:rsidDel="00000000" w:rsidR="00000000" w:rsidRPr="00000000">
        <w:rPr>
          <w:i w:val="1"/>
          <w:rtl w:val="0"/>
        </w:rPr>
        <w:t xml:space="preserve">T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vertAlign w:val="baseline"/>
          <w:rtl w:val="0"/>
        </w:rPr>
        <w:t xml:space="preserve">est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vertAlign w:val="baseline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>
        <w:rPr>
          <w:rFonts w:ascii="Arial" w:cs="Arial" w:eastAsia="Arial" w:hAnsi="Arial"/>
          <w:sz w:val="20"/>
          <w:szCs w:val="20"/>
          <w:vertAlign w:val="baseline"/>
          <w:rtl w:val="0"/>
        </w:rPr>
        <w:t xml:space="preserve">Další termíny a zkratky z oboru ITS jsou obsaženy ve slovníku ITS terminology (www.ITSterminology.org).</w:t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vertAlign w:val="baseline"/>
          <w:rtl w:val="0"/>
        </w:rPr>
        <w:t xml:space="preserve">5  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vertAlign w:val="baseline"/>
          <w:rtl w:val="0"/>
        </w:rPr>
        <w:t xml:space="preserve">Abstraktní popis 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vertAlign w:val="baseline"/>
          <w:rtl w:val="0"/>
        </w:rPr>
        <w:t xml:space="preserve">zkoušek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Zkoušet lze buď implementaci centrálního systém</w:t>
      </w:r>
      <w:r w:rsidDel="00000000" w:rsidR="00000000" w:rsidRPr="00000000">
        <w:rPr>
          <w:rtl w:val="0"/>
        </w:rPr>
        <w:t xml:space="preserve">u (b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ack </w:t>
      </w:r>
      <w:r w:rsidDel="00000000" w:rsidR="00000000" w:rsidRPr="00000000">
        <w:rPr>
          <w:rtl w:val="0"/>
        </w:rPr>
        <w:t xml:space="preserve">e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nd), nebo konco</w:t>
      </w:r>
      <w:r w:rsidDel="00000000" w:rsidR="00000000" w:rsidRPr="00000000">
        <w:rPr>
          <w:rtl w:val="0"/>
        </w:rPr>
        <w:t xml:space="preserve">vého zařízení (f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ront </w:t>
      </w:r>
      <w:r w:rsidDel="00000000" w:rsidR="00000000" w:rsidRPr="00000000">
        <w:rPr>
          <w:rtl w:val="0"/>
        </w:rPr>
        <w:t xml:space="preserve">e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nd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). V obou případech je součástí zkoušené implementace i komunikační vrstva. Zkouška se zahájí spuštěním sady zkušebních případů zapsaných v jazyku TTCN-3.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Jak je patrné z obrázku 1, testovaný systém (zkoušená implementace) a tester jsou propojeny pomocí  komunikační vrstvy definované v ISO TS 17575-2.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left"/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0" distR="0" hidden="0" layoutInCell="0" locked="0" relativeHeight="0" simplePos="0">
            <wp:simplePos x="0" y="0"/>
            <wp:positionH relativeFrom="margin">
              <wp:posOffset>390525</wp:posOffset>
            </wp:positionH>
            <wp:positionV relativeFrom="paragraph">
              <wp:posOffset>66675</wp:posOffset>
            </wp:positionV>
            <wp:extent cx="4970780" cy="2097143"/>
            <wp:effectExtent b="0" l="0" r="0" t="0"/>
            <wp:wrapSquare wrapText="bothSides" distB="0" distT="0" distL="0" distR="0"/>
            <wp:docPr descr="ttcn3-tester.png" id="1" name="image2.png"/>
            <a:graphic>
              <a:graphicData uri="http://schemas.openxmlformats.org/drawingml/2006/picture">
                <pic:pic>
                  <pic:nvPicPr>
                    <pic:cNvPr descr="ttcn3-tester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70780" cy="209714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vertAlign w:val="baseline"/>
          <w:rtl w:val="0"/>
        </w:rPr>
        <w:t xml:space="preserve">Obrázek 1</w:t>
      </w:r>
      <w:r w:rsidDel="00000000" w:rsidR="00000000" w:rsidRPr="00000000">
        <w:rPr>
          <w:b w:val="1"/>
          <w:rtl w:val="0"/>
        </w:rPr>
        <w:t xml:space="preserve"> -</w:t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vertAlign w:val="baseline"/>
          <w:rtl w:val="0"/>
        </w:rPr>
        <w:t xml:space="preserve"> Architektura testovacího </w:t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vertAlign w:val="baseline"/>
          <w:rtl w:val="0"/>
        </w:rPr>
        <w:t xml:space="preserve">systému</w:t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vertAlign w:val="baseline"/>
          <w:rtl w:val="0"/>
        </w:rPr>
        <w:t xml:space="preserve"> (obrázek </w:t>
      </w:r>
      <w:r w:rsidDel="00000000" w:rsidR="00000000" w:rsidRPr="00000000">
        <w:rPr>
          <w:b w:val="1"/>
          <w:rtl w:val="0"/>
        </w:rPr>
        <w:t xml:space="preserve">1 normy)</w:t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vertAlign w:val="baseline"/>
          <w:rtl w:val="0"/>
        </w:rPr>
        <w:t xml:space="preserve">6  Neproveditelné zkoušky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Žádné nejsou známy.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vertAlign w:val="baseline"/>
          <w:rtl w:val="0"/>
        </w:rPr>
        <w:t xml:space="preserve">7  Datové typy abstraktní sestavy zkoušek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Všechny datové typy potřebné k provedení sady zkušebních případů zapsaných v jazyce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TTCN</w:t>
      </w:r>
      <w:r w:rsidDel="00000000" w:rsidR="00000000" w:rsidRPr="00000000">
        <w:rPr>
          <w:rtl w:val="0"/>
        </w:rPr>
        <w:t xml:space="preserve">-3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 jsou dodány jako moduly ve formátu ASN.1. Jedná se 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numPr>
          <w:ilvl w:val="0"/>
          <w:numId w:val="2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ContextDataModule: obsahuje kontextová data (ContextData) 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numPr>
          <w:ilvl w:val="0"/>
          <w:numId w:val="2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ChargingModule: obsahuje mimo jiné hlášení mýtného (ChargeReport) a odpověď na něj (ChargeReportResponse).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numPr>
          <w:ilvl w:val="0"/>
          <w:numId w:val="2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EfcModule: obsahuje mýtnou DSRC komunikaci mezi palubní jednotkou a zařízením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na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 infrastruktuře.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numPr>
          <w:ilvl w:val="0"/>
          <w:numId w:val="2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CccModule: obsahuje kontrolní DSRC komunikaci mezi palubní jednotkou a zařízení na infrastruktuře.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numPr>
          <w:ilvl w:val="0"/>
          <w:numId w:val="2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DSRCModule: obsahuje popis pro DSRC komunikaci.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numPr>
          <w:ilvl w:val="0"/>
          <w:numId w:val="2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AVIAEINumberingAndDataStructures: obsahuje popis pro automatickou identifikaci zařízení a vozidla.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vertAlign w:val="baseline"/>
          <w:rtl w:val="0"/>
        </w:rPr>
        <w:t xml:space="preserve">8 Externí funkce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Definice v TTCN</w:t>
      </w:r>
      <w:r w:rsidDel="00000000" w:rsidR="00000000" w:rsidRPr="00000000">
        <w:rPr>
          <w:rtl w:val="0"/>
        </w:rPr>
        <w:t xml:space="preserve">-3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 obsahuje tyto externí funkce: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numPr>
          <w:ilvl w:val="0"/>
          <w:numId w:val="3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Inicializace komunikační vrstvy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numPr>
          <w:ilvl w:val="0"/>
          <w:numId w:val="3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Uvolnění komunikační vrstvy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vertAlign w:val="baseline"/>
          <w:rtl w:val="0"/>
        </w:rPr>
        <w:t xml:space="preserve">9 Filtrování zpráv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Aplikační datové jednotky (ADU) posílané mezi UIT a testerem, které nejsou součástí testovacích cílů, by měly být ignorovány. Do TTCN-3 kódu je proto přidán příkaz, kterým se všechny ADU nezpracované skriptem pro účely zkušebních případů, ignorují.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vertAlign w:val="baseline"/>
          <w:rtl w:val="0"/>
        </w:rPr>
        <w:t xml:space="preserve">10 Konvence pro pojmenovávání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Pro vyšší přehlednost je v rámci TTCN-</w:t>
      </w:r>
      <w:r w:rsidDel="00000000" w:rsidR="00000000" w:rsidRPr="00000000">
        <w:rPr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 doporučeno používat určité konvence při tvorbě identifikátorů. Konvence určují používání velkých a malých písmen, předpon a přípon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a dělení identifikátorů do částí oddělených „podtržítkem“.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V technické specifikaci je dále na příkladech ukázán způsob pojmenovávání různých objektů v rámci TTCN</w:t>
      </w:r>
      <w:r w:rsidDel="00000000" w:rsidR="00000000" w:rsidRPr="00000000">
        <w:rPr>
          <w:rtl w:val="0"/>
        </w:rPr>
        <w:t xml:space="preserve">-3, viz tabulka 1.</w:t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center"/>
        <w:rPr>
          <w:b w:val="1"/>
        </w:rPr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vertAlign w:val="baseline"/>
          <w:rtl w:val="0"/>
        </w:rPr>
        <w:t xml:space="preserve">Tabulka 1. Příkad konvencí pro pojmenovávání identifikátorů </w:t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vertAlign w:val="baseline"/>
          <w:rtl w:val="0"/>
        </w:rPr>
        <w:t xml:space="preserve">v TTCN-</w:t>
      </w:r>
      <w:r w:rsidDel="00000000" w:rsidR="00000000" w:rsidRPr="00000000">
        <w:rPr>
          <w:b w:val="1"/>
          <w:rtl w:val="0"/>
        </w:rPr>
        <w:t xml:space="preserve">3</w:t>
      </w:r>
    </w:p>
    <w:tbl>
      <w:tblPr>
        <w:tblStyle w:val="Table2"/>
        <w:bidiVisual w:val="0"/>
        <w:tblW w:w="909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710"/>
        <w:gridCol w:w="1935"/>
        <w:gridCol w:w="1170"/>
        <w:gridCol w:w="975"/>
        <w:gridCol w:w="2055"/>
        <w:gridCol w:w="1245"/>
        <w:tblGridChange w:id="0">
          <w:tblGrid>
            <w:gridCol w:w="1710"/>
            <w:gridCol w:w="1935"/>
            <w:gridCol w:w="1170"/>
            <w:gridCol w:w="975"/>
            <w:gridCol w:w="2055"/>
            <w:gridCol w:w="1245"/>
          </w:tblGrid>
        </w:tblGridChange>
      </w:tblGrid>
      <w:t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Prvek jazyka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Konvence pojmenování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Předpona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Přípona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Příklad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Poznámka</w:t>
            </w:r>
          </w:p>
        </w:tc>
      </w:tr>
      <w:t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Modul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Počáteční písmeno velké (camel case)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žádná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žádná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ContextData_TE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Skupina testů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Všechna písmena velká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žádná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žádná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TP_RT_PS_TR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Skupina položek v rámci modulu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Počáteční písmeno velké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žádná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žádná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>
                <w:rFonts w:ascii="Courier New" w:cs="Courier New" w:eastAsia="Courier New" w:hAnsi="Courier New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rtl w:val="0"/>
              </w:rPr>
              <w:t xml:space="preserve">Valid_Behaviour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>
            <w:pPr>
              <w:keepNext w:val="0"/>
              <w:keepLines w:val="0"/>
              <w:widowControl w:val="0"/>
              <w:pBdr/>
              <w:spacing w:after="0" w:before="0" w:line="240" w:lineRule="auto"/>
              <w:ind w:left="0" w:right="0" w:firstLine="0"/>
              <w:contextualSpacing w:val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center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Popsán je také způsob pojmenovávání zkušebních případů, ze kterého je možné zjistit: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numPr>
          <w:ilvl w:val="0"/>
          <w:numId w:val="4"/>
        </w:numPr>
        <w:pBdr/>
        <w:spacing w:after="0" w:before="0" w:line="24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skupinu zkušebního případu,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numPr>
          <w:ilvl w:val="0"/>
          <w:numId w:val="4"/>
        </w:numPr>
        <w:pBdr/>
        <w:spacing w:after="0" w:before="0" w:line="24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zařízení, kterého se zkouška týká (Back End nebo Front End),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numPr>
          <w:ilvl w:val="0"/>
          <w:numId w:val="4"/>
        </w:numPr>
        <w:pBdr/>
        <w:spacing w:after="0" w:before="0" w:line="24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typ zkoušky (pozitivní nebo negativní),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numPr>
          <w:ilvl w:val="0"/>
          <w:numId w:val="4"/>
        </w:numPr>
        <w:pBdr/>
        <w:spacing w:after="0" w:before="0" w:line="24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sekvenční číslo zkoušky.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0" w:before="0" w:line="240" w:lineRule="auto"/>
        <w:ind w:left="0" w:right="0" w:firstLine="0"/>
        <w:contextualSpacing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0" w:before="0" w:line="240" w:lineRule="auto"/>
        <w:ind w:left="0" w:right="0" w:firstLine="0"/>
        <w:contextualSpacing w:val="0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Dále je popsáno tvoření jmen modulů TTCN-3.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numPr>
          <w:ilvl w:val="0"/>
          <w:numId w:val="4"/>
        </w:numPr>
        <w:pBdr/>
        <w:spacing w:after="0" w:before="0" w:line="24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_TypesAndValues: modul obsahuje všechny datové typy a konstanty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numPr>
          <w:ilvl w:val="0"/>
          <w:numId w:val="4"/>
        </w:numPr>
        <w:pBdr/>
        <w:spacing w:after="0" w:before="0" w:line="24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_Functions: modul obsahuje funkce TTCN-3 určené pro porovnávání a ověření správnosti výsledků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numPr>
          <w:ilvl w:val="0"/>
          <w:numId w:val="4"/>
        </w:numPr>
        <w:pBdr/>
        <w:spacing w:after="0" w:before="0" w:line="24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_Templates: modul obsahuje šablony odesílaných a přijímaných zpráv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numPr>
          <w:ilvl w:val="0"/>
          <w:numId w:val="4"/>
        </w:numPr>
        <w:pBdr/>
        <w:spacing w:after="0" w:before="0" w:line="24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_Pixits: modul obsahuje rozšířené informace o implementaci (PIXIT) pro automatickou konfiguraci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numPr>
          <w:ilvl w:val="0"/>
          <w:numId w:val="4"/>
        </w:numPr>
        <w:pBdr/>
        <w:spacing w:after="0" w:before="0" w:line="24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_PICS: modul obsahuje definice PICS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numPr>
          <w:ilvl w:val="0"/>
          <w:numId w:val="4"/>
        </w:numPr>
        <w:pBdr/>
        <w:spacing w:after="0" w:before="0" w:line="24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_TCs: modul obsahuje  zkušební případy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numPr>
          <w:ilvl w:val="0"/>
          <w:numId w:val="4"/>
        </w:numPr>
        <w:pBdr/>
        <w:spacing w:after="0" w:before="0" w:line="24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_TE: modul obsahuje řídící část zkušebního skriptu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0" w:before="0" w:line="240" w:lineRule="auto"/>
        <w:ind w:left="0" w:right="0" w:firstLine="0"/>
        <w:contextualSpacing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0" w:before="0" w:line="240" w:lineRule="auto"/>
        <w:ind w:left="0" w:right="0" w:firstLine="0"/>
        <w:contextualSpacing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>
          <w:b w:val="1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vertAlign w:val="baseline"/>
          <w:rtl w:val="0"/>
        </w:rPr>
        <w:t xml:space="preserve">Příloha A  </w:t>
      </w:r>
      <w:r w:rsidDel="00000000" w:rsidR="00000000" w:rsidRPr="00000000">
        <w:rPr>
          <w:rFonts w:ascii="Arial" w:cs="Arial" w:eastAsia="Arial" w:hAnsi="Arial"/>
          <w:b w:val="0"/>
          <w:i w:val="1"/>
          <w:sz w:val="22"/>
          <w:szCs w:val="22"/>
          <w:vertAlign w:val="baseline"/>
          <w:rtl w:val="0"/>
        </w:rPr>
        <w:t xml:space="preserve">(normativní) 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vertAlign w:val="baseline"/>
          <w:rtl w:val="0"/>
        </w:rPr>
        <w:t xml:space="preserve">Knihovna TTCN-3 modulů </w:t>
      </w:r>
      <w:r w:rsidDel="00000000" w:rsidR="00000000" w:rsidRPr="00000000">
        <w:rPr>
          <w:b w:val="1"/>
          <w:sz w:val="22"/>
          <w:szCs w:val="22"/>
          <w:rtl w:val="0"/>
        </w:rPr>
        <w:t xml:space="preserve">pro koncové zařízení a centrální systém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Jedná se o elektronickou přílohu tvořenou dvěma archivy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numPr>
          <w:ilvl w:val="0"/>
          <w:numId w:val="1"/>
        </w:numPr>
        <w:pBdr/>
        <w:spacing w:after="120" w:before="0" w:line="240" w:lineRule="auto"/>
        <w:ind w:left="78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„ContextData_ttcn3_asn1.zip“, který obsahuje skripty TTCN-3 a definice datových typů v ASN.1.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numPr>
          <w:ilvl w:val="0"/>
          <w:numId w:val="1"/>
        </w:numPr>
        <w:pBdr/>
        <w:spacing w:after="120" w:before="0" w:line="240" w:lineRule="auto"/>
        <w:ind w:left="78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„ContextData_html_doc.zip“, HTML dokumentace.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vertAlign w:val="baseline"/>
          <w:rtl w:val="0"/>
        </w:rPr>
        <w:t xml:space="preserve">Příloha B  </w:t>
      </w:r>
      <w:r w:rsidDel="00000000" w:rsidR="00000000" w:rsidRPr="00000000">
        <w:rPr>
          <w:rFonts w:ascii="Arial" w:cs="Arial" w:eastAsia="Arial" w:hAnsi="Arial"/>
          <w:b w:val="0"/>
          <w:i w:val="1"/>
          <w:sz w:val="22"/>
          <w:szCs w:val="22"/>
          <w:vertAlign w:val="baseline"/>
          <w:rtl w:val="0"/>
        </w:rPr>
        <w:t xml:space="preserve">(informativní) 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vertAlign w:val="baseline"/>
          <w:rtl w:val="0"/>
        </w:rPr>
        <w:t xml:space="preserve">Proforma formulář PIXI</w:t>
      </w:r>
      <w:r w:rsidDel="00000000" w:rsidR="00000000" w:rsidRPr="00000000">
        <w:rPr>
          <w:b w:val="1"/>
          <w:sz w:val="22"/>
          <w:szCs w:val="22"/>
          <w:rtl w:val="0"/>
        </w:rPr>
        <w:t xml:space="preserve">T pro koncové zařízení a centrální systém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Proforma protokolu s rozšířenými informacemi o implementaci pro potřeby zkoušení centrálního systému a koncového zařízení (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PIXIT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1"/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tl w:val="0"/>
        </w:rPr>
      </w:r>
    </w:p>
    <w:sectPr>
      <w:footerReference r:id="rId7" w:type="default"/>
      <w:pgSz w:h="16838" w:w="11906"/>
      <w:pgMar w:bottom="1417" w:top="1417" w:left="1417" w:right="1417" w:head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font w:name="Arial"/>
  <w:font w:name="Georgia"/>
  <w:font w:name="Courier New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p w:rsidR="00000000" w:rsidDel="00000000" w:rsidP="00000000" w:rsidRDefault="00000000" w:rsidRPr="00000000">
    <w:pPr>
      <w:widowControl w:val="1"/>
      <w:pBdr/>
      <w:tabs>
        <w:tab w:val="center" w:pos="4536"/>
        <w:tab w:val="right" w:pos="9072"/>
      </w:tabs>
      <w:spacing w:after="0" w:before="0" w:line="240" w:lineRule="auto"/>
      <w:contextualSpacing w:val="0"/>
      <w:rPr/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0" locked="0" relativeHeight="0" simplePos="0">
              <wp:simplePos x="0" y="0"/>
              <wp:positionH relativeFrom="margin">
                <wp:posOffset>2832100</wp:posOffset>
              </wp:positionH>
              <wp:positionV relativeFrom="paragraph">
                <wp:posOffset>0</wp:posOffset>
              </wp:positionV>
              <wp:extent cx="76200" cy="152400"/>
              <wp:effectExtent b="0" l="0" r="0" t="0"/>
              <wp:wrapSquare wrapText="bothSides" distB="0" distT="0" distL="0" distR="0"/>
              <wp:docPr id="2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5310757" y="3707292"/>
                        <a:ext cx="70484" cy="14541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0"/>
                              <w:vertAlign w:val="baseline"/>
                            </w:rPr>
                            <w:t xml:space="preserve"> PAGE 4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0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ctr" bIns="91425" lIns="91425" rIns="91425" tIns="91425"/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0" distR="0" hidden="0" layoutInCell="0" locked="0" relativeHeight="0" simplePos="0">
              <wp:simplePos x="0" y="0"/>
              <wp:positionH relativeFrom="margin">
                <wp:posOffset>2832100</wp:posOffset>
              </wp:positionH>
              <wp:positionV relativeFrom="paragraph">
                <wp:posOffset>0</wp:posOffset>
              </wp:positionV>
              <wp:extent cx="76200" cy="152400"/>
              <wp:effectExtent b="0" l="0" r="0" t="0"/>
              <wp:wrapSquare wrapText="bothSides" distB="0" distT="0" distL="0" distR="0"/>
              <wp:docPr id="2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6200" cy="1524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abstractNum w:abstractNumId="1">
    <w:lvl w:ilvl="0">
      <w:start w:val="1"/>
      <w:numFmt w:val="decimal"/>
      <w:lvlText w:val="%1."/>
      <w:lvlJc w:val="left"/>
      <w:pPr>
        <w:ind w:left="780" w:firstLine="420"/>
      </w:pPr>
      <w:rPr>
        <w:vertAlign w:val="baseline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bullet"/>
      <w:lvlText w:val="●"/>
      <w:lvlJc w:val="left"/>
      <w:pPr>
        <w:ind w:left="720" w:firstLine="360"/>
      </w:pPr>
      <w:rPr>
        <w:rFonts w:ascii="Arial" w:cs="Arial" w:eastAsia="Arial" w:hAnsi="Arial"/>
        <w:vertAlign w:val="baseline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">
    <w:lvl w:ilvl="0">
      <w:start w:val="1"/>
      <w:numFmt w:val="bullet"/>
      <w:lvlText w:val="●"/>
      <w:lvlJc w:val="left"/>
      <w:pPr>
        <w:ind w:left="720" w:firstLine="360"/>
      </w:pPr>
      <w:rPr>
        <w:rFonts w:ascii="Arial" w:cs="Arial" w:eastAsia="Arial" w:hAnsi="Arial"/>
        <w:vertAlign w:val="baseline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4">
    <w:lvl w:ilvl="0">
      <w:start w:val="1"/>
      <w:numFmt w:val="bullet"/>
      <w:lvlText w:val="●"/>
      <w:lvlJc w:val="left"/>
      <w:pPr>
        <w:ind w:left="720" w:firstLine="360"/>
      </w:pPr>
      <w:rPr>
        <w:rFonts w:ascii="Arial" w:cs="Arial" w:eastAsia="Arial" w:hAnsi="Arial"/>
        <w:color w:val="000000"/>
        <w:vertAlign w:val="baseline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displayBackgroundShape w:val="1"/>
  <w:defaultTabStop w:val="720"/>
  <w:compat>
    <w:compatSetting w:val="14" w:name="compatibilityMode" w:uri="http://schemas.microsoft.com/office/word"/>
  </w:compa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docDefaults>
    <w:rPrDefault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vertAlign w:val="baseline"/>
      </w:rPr>
    </w:rPrDefault>
    <w:pPrDefault>
      <w:pPr>
        <w:keepNext w:val="0"/>
        <w:keepLines w:val="0"/>
        <w:widowControl w:val="1"/>
        <w:pBdr/>
        <w:spacing w:after="0" w:before="0" w:line="240" w:lineRule="auto"/>
        <w:ind w:left="0" w:right="0" w:firstLine="0"/>
        <w:jc w:val="left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Bdr/>
      <w:spacing w:after="120" w:before="480" w:lineRule="auto"/>
      <w:contextualSpacing w:val="1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Bdr/>
      <w:spacing w:after="80" w:before="360" w:lineRule="auto"/>
      <w:contextualSpacing w:val="1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Bdr/>
      <w:spacing w:after="80" w:before="280" w:lineRule="auto"/>
      <w:contextualSpacing w:val="1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Bdr/>
      <w:spacing w:after="40" w:before="240" w:lineRule="auto"/>
      <w:contextualSpacing w:val="1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Bdr/>
      <w:spacing w:after="40" w:before="220" w:lineRule="auto"/>
      <w:contextualSpacing w:val="1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Bdr/>
      <w:spacing w:after="40" w:before="200" w:lineRule="auto"/>
      <w:contextualSpacing w:val="1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Bdr/>
      <w:spacing w:after="120" w:before="480" w:lineRule="auto"/>
      <w:contextualSpacing w:val="1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Bdr/>
      <w:spacing w:after="80" w:before="360" w:lineRule="auto"/>
      <w:contextualSpacing w:val="1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  <w:tblStylePr w:type="band1Horz"/>
    <w:tblStylePr w:type="band1Vert"/>
    <w:tblStylePr w:type="band2Horz"/>
    <w:tblStylePr w:type="band2Vert"/>
    <w:tblStylePr w:type="firstCol"/>
    <w:tblStylePr w:type="firstRow"/>
    <w:tblStylePr w:type="lastCol"/>
    <w:tblStylePr w:type="lastRow"/>
    <w:tblStylePr w:type="neCell"/>
    <w:tblStylePr w:type="nwCell"/>
    <w:tblStylePr w:type="seCell"/>
    <w:tblStylePr w:type="swCell"/>
  </w:style>
  <w:style w:type="table" w:styleId="Table2">
    <w:basedOn w:val="TableNormal"/>
    <w:tblPr>
      <w:tblStyleRowBandSize w:val="1"/>
      <w:tblStyleColBandSize w:val="1"/>
    </w:tblPr>
    <w:tblStylePr w:type="band1Horz"/>
    <w:tblStylePr w:type="band1Vert"/>
    <w:tblStylePr w:type="band2Horz"/>
    <w:tblStylePr w:type="band2Vert"/>
    <w:tblStylePr w:type="firstCol"/>
    <w:tblStylePr w:type="firstRow"/>
    <w:tblStylePr w:type="lastCol"/>
    <w:tblStylePr w:type="lastRow"/>
    <w:tblStylePr w:type="neCell"/>
    <w:tblStylePr w:type="nwCell"/>
    <w:tblStylePr w:type="seCell"/>
    <w:tblStylePr w:type="swCell"/>
  </w:style>
</w:styles>
</file>

<file path=word/_rels/document.xml.rels><?xml version='1.0' encoding='UTF-8' standalone='yes'?>
<Relationships xmlns="http://schemas.openxmlformats.org/package/2006/relationships"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