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pBdr/>
        <w:tabs>
          <w:tab w:val="left" w:pos="7080"/>
        </w:tabs>
        <w:spacing w:after="60" w:before="0" w:line="240" w:lineRule="auto"/>
        <w:contextualSpacing w:val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vertAlign w:val="baseline"/>
          <w:rtl w:val="0"/>
        </w:rPr>
        <w:t xml:space="preserve">EXTRAKT z mezinárodní normy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6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Extrakt nenahrazuje samotnou technickou normu, je pouze informativním materiálem o normě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/>
        <w:tabs>
          <w:tab w:val="left" w:pos="7371"/>
          <w:tab w:val="right" w:pos="9923"/>
        </w:tabs>
        <w:spacing w:after="6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16"/>
          <w:szCs w:val="16"/>
          <w:vertAlign w:val="baseline"/>
          <w:rtl w:val="0"/>
        </w:rPr>
        <w:t xml:space="preserve">ICS 03.220.20; 35.240.60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923.0" w:type="dxa"/>
        <w:jc w:val="left"/>
        <w:tblBorders>
          <w:top w:color="000000" w:space="0" w:sz="12" w:val="single"/>
          <w:bottom w:color="000000" w:space="0" w:sz="12" w:val="single"/>
        </w:tblBorders>
        <w:tblLayout w:type="fixed"/>
        <w:tblLook w:val="0000"/>
      </w:tblPr>
      <w:tblGrid>
        <w:gridCol w:w="7371"/>
        <w:gridCol w:w="2552"/>
        <w:tblGridChange w:id="0">
          <w:tblGrid>
            <w:gridCol w:w="7371"/>
            <w:gridCol w:w="2552"/>
          </w:tblGrid>
        </w:tblGridChange>
      </w:tblGrid>
      <w:tr>
        <w:trPr>
          <w:trHeight w:val="1700" w:hRule="atLeast"/>
        </w:trPr>
        <w:tc>
          <w:tcPr/>
          <w:p w:rsidR="00000000" w:rsidDel="00000000" w:rsidP="00000000" w:rsidRDefault="00000000" w:rsidRPr="00000000">
            <w:pPr>
              <w:widowControl w:val="0"/>
              <w:pBdr/>
              <w:spacing w:after="0" w:before="640" w:line="240" w:lineRule="auto"/>
              <w:ind w:right="567"/>
              <w:contextualSpacing w:val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vertAlign w:val="baseline"/>
                <w:rtl w:val="0"/>
              </w:rPr>
              <w:t xml:space="preserve">Elektronický výběr poplatků (EFC) –</w:t>
              <w:br w:type="textWrapping"/>
              <w:t xml:space="preserve">Funkční charakteristiky výběru poplatků – </w:t>
              <w:br w:type="textWrapping"/>
              <w:t xml:space="preserve">Část 2: Rámec pro zkoušení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pBdr/>
              <w:spacing w:after="0" w:before="180" w:line="240" w:lineRule="auto"/>
              <w:contextualSpacing w:val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0"/>
              </w:rPr>
              <w:t xml:space="preserve">ČSN P</w:t>
              <w:br w:type="textWrapping"/>
              <w:t xml:space="preserve">CEN ISO/TS 17444-2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Bdr/>
              <w:spacing w:after="80" w:before="80" w:line="240" w:lineRule="auto"/>
              <w:contextualSpacing w:val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sz w:val="28"/>
                <w:szCs w:val="28"/>
                <w:vertAlign w:val="baseline"/>
                <w:rtl w:val="0"/>
              </w:rPr>
              <w:t xml:space="preserve">01 8398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1"/>
        <w:keepLines w:val="1"/>
        <w:pBdr/>
        <w:tabs>
          <w:tab w:val="center" w:pos="0"/>
          <w:tab w:val="center" w:pos="7938"/>
        </w:tabs>
        <w:spacing w:after="360" w:before="24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sz w:val="28"/>
          <w:szCs w:val="28"/>
          <w:vertAlign w:val="baseline"/>
          <w:rtl w:val="0"/>
        </w:rPr>
        <w:tab/>
        <w:t xml:space="preserve">Vydána 2013, 104 stran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b w:val="1"/>
          <w:vertAlign w:val="baseline"/>
          <w:rtl w:val="0"/>
        </w:rPr>
        <w:t xml:space="preserve">Úvod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vertAlign w:val="baseline"/>
          <w:rtl w:val="0"/>
        </w:rPr>
        <w:t xml:space="preserve">Tato technická specifikace </w:t>
      </w:r>
      <w:r w:rsidDel="00000000" w:rsidR="00000000" w:rsidRPr="00000000">
        <w:rPr>
          <w:b w:val="1"/>
          <w:vertAlign w:val="baseline"/>
          <w:rtl w:val="0"/>
        </w:rPr>
        <w:t xml:space="preserve">defin</w:t>
      </w:r>
      <w:r w:rsidDel="00000000" w:rsidR="00000000" w:rsidRPr="00000000">
        <w:rPr>
          <w:b w:val="1"/>
          <w:vertAlign w:val="baseline"/>
          <w:rtl w:val="0"/>
        </w:rPr>
        <w:t xml:space="preserve">uje rámec </w:t>
      </w:r>
      <w:r w:rsidDel="00000000" w:rsidR="00000000" w:rsidRPr="00000000">
        <w:rPr>
          <w:b w:val="1"/>
          <w:rtl w:val="0"/>
        </w:rPr>
        <w:t xml:space="preserve">zkoušek</w:t>
      </w:r>
      <w:r w:rsidDel="00000000" w:rsidR="00000000" w:rsidRPr="00000000">
        <w:rPr>
          <w:b w:val="1"/>
          <w:vertAlign w:val="baseline"/>
          <w:rtl w:val="0"/>
        </w:rPr>
        <w:t xml:space="preserve"> a metod pro</w:t>
      </w:r>
      <w:r w:rsidDel="00000000" w:rsidR="00000000" w:rsidRPr="00000000">
        <w:rPr>
          <w:b w:val="1"/>
          <w:vertAlign w:val="baseline"/>
          <w:rtl w:val="0"/>
        </w:rPr>
        <w:t xml:space="preserve"> měření výkonnostních metrik</w:t>
      </w:r>
      <w:r w:rsidDel="00000000" w:rsidR="00000000" w:rsidRPr="00000000">
        <w:rPr>
          <w:vertAlign w:val="baseline"/>
          <w:rtl w:val="0"/>
        </w:rPr>
        <w:t xml:space="preserve">, </w:t>
      </w:r>
      <w:r w:rsidDel="00000000" w:rsidR="00000000" w:rsidRPr="00000000">
        <w:rPr>
          <w:vertAlign w:val="baseline"/>
          <w:rtl w:val="0"/>
        </w:rPr>
        <w:t xml:space="preserve">definovaných</w:t>
      </w:r>
      <w:r w:rsidDel="00000000" w:rsidR="00000000" w:rsidRPr="00000000">
        <w:rPr>
          <w:vertAlign w:val="baseline"/>
          <w:rtl w:val="0"/>
        </w:rPr>
        <w:t xml:space="preserve"> v části 1 technické specifikace 17444 (viz kapitola Související normy, ISO 17444-1). Rovněž poskytuje nástroj (tato technická specifikace je konstruována jako tzv. „toolbox“) pro volbu výkonnostních metrik v závislosti na požadavcích a podmínkách individuálních projektů. Tyto metriky se zaměřují na procesy mýtného systému, jež přímo souvisejí s výpočtem výsledného mýta – s cílem ochránit zájmy zúčastněných stran, zejména regulérních uživatelů mýtného systému a úřadu jež vykonává roli výběrčího mýta. Jejich použití je možné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vertAlign w:val="baseline"/>
          <w:rtl w:val="0"/>
        </w:rPr>
        <w:t xml:space="preserve">v rámci jakéhokoliv mýtného systému, bez ohledu na konkrétní technickou implementaci, systémovou architekturu, strukturu tarifů, rozsahu pokrytí čí organizačního modelu. Zkušební rámce a metody pro výpočet jednotlivých metrik mohou být definovány individuálně pro následující fáze projektu mýtného systému (rozdíl v těchto fázích je v dostupnosti vozidel vybavených jednotkou OBU, což je důležitý faktor v rámci procesu měření výkonnostních metrik jež souvisejí s kalkulací mýtného):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Fáze kontrolní (či vyhodnocení) v rámci implementace systému (relativně nízký počet vozidel vybavených jednotkou OBU, nicméně s kontrolovatelným chováním)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Fáze monitorování v rámci provozu systému (vysoký počet vozidel vybavených jednotkou OBU, bez kontrolovatelného chování)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>
        <w:rPr>
          <w:vertAlign w:val="baseline"/>
          <w:rtl w:val="0"/>
        </w:rPr>
        <w:t xml:space="preserve">Poznámka: Extrakt uvádí vybrané kapitoly popisovaného dokumentu a přejímá původní číslování kapitol.</w:t>
      </w:r>
    </w:p>
    <w:p w:rsidR="00000000" w:rsidDel="00000000" w:rsidP="00000000" w:rsidRDefault="00000000" w:rsidRPr="00000000">
      <w:pPr>
        <w:keepNext w:val="0"/>
        <w:keepLines w:val="0"/>
        <w:widowControl w:val="1"/>
        <w:pBdr/>
        <w:spacing w:after="0" w:before="0" w:line="240" w:lineRule="auto"/>
        <w:ind w:left="0" w:right="0" w:firstLine="0"/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b w:val="1"/>
          <w:vertAlign w:val="baseline"/>
          <w:rtl w:val="0"/>
        </w:rPr>
        <w:t xml:space="preserve">Užití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Tato norma slouží k definovaní rámce zkušebních testů jež jsou určeny k měření výkonnostních metrik souvisejících s procesem kalkulace mýtného v rámci mýtného systému.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Pro subjekty nesoucí zodpovědnost za role výběrčího mýtného a poskytovatele služby mýtného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poskytuje tato norma návod jak provést kontrolu výkonnostních metrik v rámci kontrolní fáze a fáze monitorování během regulérního provozu mýtného systému.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b w:val="1"/>
          <w:vertAlign w:val="baseline"/>
          <w:rtl w:val="0"/>
        </w:rPr>
        <w:t xml:space="preserve">1 Předmět normy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Tato část normy 17444 definuje zkušební rámec (nebo také rámec pro zkoušení) určený k měření výkonnostních metrik souvisejících s procesem kalkulace mýta (definované v ISO/TS 17444-1). Zároveň obsahuje metodiku ke specifikaci a dokumentaci takového rámce, jež může být odpovědným subjektem použit k ohodnocení výkonu zpoplatnění konkrétního rozhraní pro výměnu informací nebo celkový výkon zpoplatnění v rámci mýtného schématu. Poskytuje nástroje pro zkušební testy pro role výběrčího mýtného a poskytovatele mýtné služby u následujících typů schémat: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Diskrétní DSRC;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Autonomní diskrétní;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Autonomní spojité.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Předmětem této normy není následující: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konkrétní obory hodnot daných výkonnostních metrik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referenční systém potřebný pro porovnání výkonu mezi různými systémy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měření metrik na nestandardizovaných rozhraních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b w:val="1"/>
          <w:vertAlign w:val="baseline"/>
          <w:rtl w:val="0"/>
        </w:rPr>
        <w:t xml:space="preserve">2 Souvisící normy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1"/>
          <w:vertAlign w:val="baseline"/>
          <w:rtl w:val="0"/>
        </w:rPr>
        <w:t xml:space="preserve"/>
      </w:r>
      <w:r w:rsidDel="00000000" w:rsidR="00000000" w:rsidRPr="00000000">
        <w:rPr>
          <w:b w:val="1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ČSN EN ISO </w:t>
      </w:r>
      <w:r w:rsidDel="00000000" w:rsidR="00000000" w:rsidRPr="00000000">
        <w:rPr>
          <w:rtl w:val="0"/>
        </w:rPr>
        <w:t xml:space="preserve">14906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(01 83</w:t>
      </w:r>
      <w:r w:rsidDel="00000000" w:rsidR="00000000" w:rsidRPr="00000000">
        <w:rPr>
          <w:rtl w:val="0"/>
        </w:rPr>
        <w:t xml:space="preserve">82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) Elektronický výběr poplatků (EFC) – Stanovení aplikačního rozhraní</w:t>
      </w:r>
      <w:r w:rsidDel="00000000" w:rsidR="00000000" w:rsidRPr="00000000">
        <w:rPr>
          <w:rtl w:val="0"/>
        </w:rPr>
        <w:t xml:space="preserve"> pro vyhrazené spojení krátkého rozsahu</w:t>
      </w:r>
    </w:p>
    <w:p w:rsidR="00000000" w:rsidDel="00000000" w:rsidP="00000000" w:rsidRDefault="00000000" w:rsidRPr="00000000">
      <w:pPr>
        <w:pBdr/>
        <w:spacing w:after="120" w:lineRule="auto"/>
        <w:contextualSpacing w:val="0"/>
        <w:jc w:val="both"/>
        <w:rPr/>
      </w:pPr>
      <w:r w:rsidDel="00000000" w:rsidR="00000000" w:rsidRPr="00000000">
        <w:rPr>
          <w:rtl w:val="0"/>
        </w:rPr>
        <w:t xml:space="preserve">ČSN ISO 17573:2012 (01 8383) Elektronický výběr poplatků (EFC) – Architektura systémů zpoplatňujících vozidla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ČSN EN ISO 12855:2012 (01 8295) Elektronický výběr poplatků (EFC) – Výměna informací mezi poskytovateli a výběrčími mýtného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ČSN P CEN ISO/TS 17575:2010 (01 8385) Elektronický výběr poplatků (EFC) – Definice aplikačního rozhraní pro autonomní systémy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3 Termíny 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definice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Kapitola obsahuje 35 termínů a definic, z nichž nejdůležitější jsou následující: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b/>
          <w:rFonts w:ascii="Arial" w:cs="Arial" w:eastAsia="Arial" w:hAnsi="Arial"/>
          <w:sz w:val="20"/>
          <w:szCs w:val="20"/>
          <w:vertAlign w:val="baseline"/>
          <w:rtl w:val="0"/>
        </w:rPr>
        <w:t xml:space="preserve">diskrétní mýtné schéma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</w:t>
      </w:r>
      <w:r>
        <w:rPr>
          <w:i/>
          <w:rFonts w:ascii="Arial" w:cs="Arial" w:eastAsia="Arial" w:hAnsi="Arial"/>
          <w:sz w:val="20"/>
          <w:szCs w:val="20"/>
          <w:vertAlign w:val="baseline"/>
          <w:rtl w:val="0"/>
        </w:rPr>
        <w:t xml:space="preserve">(discrete toll scheme)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– mýtné schéma, ve kterém je poplatek vypočítán na základě nespojitých událostí, které jsou přiřazené k identifikaci mýtných objektů, jako jsou přejetí kordónu, mostu, pobývání v určité oblasti atd.</w:t>
      </w:r>
    </w:p>
    <w:p w:rsidR="00000000" w:rsidDel="00000000" w:rsidP="00000000" w:rsidRDefault="00000000" w:rsidRPr="00000000">
      <w:pPr>
        <w:pBdr/>
        <w:spacing w:after="200" w:before="8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18"/>
          <w:szCs w:val="18"/>
          <w:vertAlign w:val="baseline"/>
          <w:rtl w:val="0"/>
        </w:rPr>
        <w:t xml:space="preserve">POZNÁMKA 1 k heslu Každé události je přiřazen určitý poplatek.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b/>
          <w:rFonts w:ascii="Arial" w:cs="Arial" w:eastAsia="Arial" w:hAnsi="Arial"/>
          <w:sz w:val="20"/>
          <w:szCs w:val="20"/>
          <w:vertAlign w:val="baseline"/>
          <w:rtl w:val="0"/>
        </w:rPr>
        <w:t xml:space="preserve">spojité mýtné schéma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</w:t>
      </w:r>
      <w:r>
        <w:rPr>
          <w:i/>
          <w:rFonts w:ascii="Arial" w:cs="Arial" w:eastAsia="Arial" w:hAnsi="Arial"/>
          <w:sz w:val="20"/>
          <w:szCs w:val="20"/>
          <w:vertAlign w:val="baseline"/>
          <w:rtl w:val="0"/>
        </w:rPr>
        <w:t xml:space="preserve">(continuous toll scheme)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– mýtné schéma, ve kterém je poplatek vypočítán na základě souhrnu spojitě měřených parametrů, jako je vzdálenost, čas atd.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b/>
          <w:rFonts w:ascii="Arial" w:cs="Arial" w:eastAsia="Arial" w:hAnsi="Arial"/>
          <w:sz w:val="20"/>
          <w:szCs w:val="20"/>
          <w:vertAlign w:val="baseline"/>
          <w:rtl w:val="0"/>
        </w:rPr>
        <w:t xml:space="preserve">metriky výkonu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</w:t>
      </w:r>
      <w:r>
        <w:rPr>
          <w:i/>
          <w:rFonts w:ascii="Arial" w:cs="Arial" w:eastAsia="Arial" w:hAnsi="Arial"/>
          <w:sz w:val="20"/>
          <w:szCs w:val="20"/>
          <w:vertAlign w:val="baseline"/>
          <w:rtl w:val="0"/>
        </w:rPr>
        <w:t xml:space="preserve">(performance metrics)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– specifické výpočty k popisu výkonu systému zpoplatnění</w:t>
      </w:r>
    </w:p>
    <w:p w:rsidR="00000000" w:rsidDel="00000000" w:rsidP="00000000" w:rsidRDefault="00000000" w:rsidRPr="00000000">
      <w:pPr>
        <w:pBdr/>
        <w:spacing w:after="200" w:before="8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18"/>
          <w:szCs w:val="18"/>
          <w:vertAlign w:val="baseline"/>
          <w:rtl w:val="0"/>
        </w:rPr>
        <w:t xml:space="preserve">POZNÁMKA 1 k heslu Tyto výpočty jsou nezávislé na technologii a schématu.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b/>
          <w:rFonts w:ascii="Arial" w:cs="Arial" w:eastAsia="Arial" w:hAnsi="Arial"/>
          <w:sz w:val="20"/>
          <w:szCs w:val="20"/>
          <w:vertAlign w:val="baseline"/>
          <w:rtl w:val="0"/>
        </w:rPr>
        <w:t xml:space="preserve">reprezentativní cesty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</w:t>
      </w:r>
      <w:r>
        <w:rPr>
          <w:i/>
          <w:rFonts w:ascii="Arial" w:cs="Arial" w:eastAsia="Arial" w:hAnsi="Arial"/>
          <w:sz w:val="20"/>
          <w:szCs w:val="20"/>
          <w:vertAlign w:val="baseline"/>
          <w:rtl w:val="0"/>
        </w:rPr>
        <w:t xml:space="preserve">(representative trips)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– cesty, které jsou delší než definovaná mez a proto musí být započteny do příslušných metrik</w:t>
      </w:r>
    </w:p>
    <w:p w:rsidR="00000000" w:rsidDel="00000000" w:rsidP="00000000" w:rsidRDefault="00000000" w:rsidRPr="00000000">
      <w:pPr>
        <w:pBdr/>
        <w:spacing w:after="200" w:before="8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18"/>
          <w:szCs w:val="18"/>
          <w:vertAlign w:val="baseline"/>
          <w:rtl w:val="0"/>
        </w:rPr>
        <w:t xml:space="preserve">POZNÁMKA 1 k heslu Musí být posuzovány pouze ty cesty, které překračují danou hranici a využívají určitý typ silnic.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200" w:before="8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18"/>
          <w:szCs w:val="18"/>
          <w:vertAlign w:val="baseline"/>
          <w:rtl w:val="0"/>
        </w:rPr>
        <w:t xml:space="preserve">POZNÁMKA 2 k heslu Hranice může být definována jako nula.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b/>
          <w:rFonts w:ascii="Arial" w:cs="Arial" w:eastAsia="Arial" w:hAnsi="Arial"/>
          <w:sz w:val="20"/>
          <w:szCs w:val="20"/>
          <w:vertAlign w:val="baseline"/>
          <w:rtl w:val="0"/>
        </w:rPr>
        <w:t xml:space="preserve">konkrétní rámec pro zkoušení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</w:t>
      </w:r>
      <w:r>
        <w:rPr>
          <w:i/>
          <w:rFonts w:ascii="Arial" w:cs="Arial" w:eastAsia="Arial" w:hAnsi="Arial"/>
          <w:sz w:val="20"/>
          <w:szCs w:val="20"/>
          <w:vertAlign w:val="baseline"/>
          <w:rtl w:val="0"/>
        </w:rPr>
        <w:t xml:space="preserve">(specific examination framework)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– konkrétní sada zkušebních testů stanovená entitou za účelem určení výkonu určitých vybraných metrik výkonu zpoplatnění v průběhu evaluace anebo monitorování</w:t>
      </w:r>
    </w:p>
    <w:p w:rsidR="00000000" w:rsidDel="00000000" w:rsidP="00000000" w:rsidRDefault="00000000" w:rsidRPr="00000000">
      <w:pPr>
        <w:pBdr/>
        <w:contextualSpacing w:val="0"/>
        <w:rPr/>
      </w:pPr>
      <w:r>
        <w:rPr>
          <w:vertAlign w:val="baseline"/>
          <w:rtl w:val="0"/>
        </w:rPr>
        <w:t xml:space="preserve">Další termíny a zkratky z oboru ITS jsou obsaženy ve slovníku ITS terminology.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4 Symboly a zkratky</w:t>
      </w:r>
      <w:r w:rsidDel="00000000" w:rsidR="00000000" w:rsidRPr="00000000">
        <w:rPr>
          <w:b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Tato kapitola obsahuje 40 zkratek a zkrácených odborných termínů, vztahujících se k předmětu normy.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tabs>
          <w:tab w:val="left" w:pos="1134"/>
        </w:tabs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DSRC</w:t>
        <w:tab/>
        <w:t xml:space="preserve">vyhrazené spojení krátkého dosahu </w:t>
      </w: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vertAlign w:val="baseline"/>
          <w:rtl w:val="0"/>
        </w:rPr>
        <w:t xml:space="preserve">(Dedicated Short Range Communications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tabs>
          <w:tab w:val="left" w:pos="1134"/>
        </w:tabs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EFC</w:t>
        <w:tab/>
        <w:t xml:space="preserve">elektronický výběr poplatků </w:t>
      </w: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vertAlign w:val="baseline"/>
          <w:rtl w:val="0"/>
        </w:rPr>
        <w:t xml:space="preserve">(Electronic Fee Collection)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tabs>
          <w:tab w:val="left" w:pos="1134"/>
        </w:tabs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EETS</w:t>
        <w:tab/>
        <w:t xml:space="preserve">evropský systém elektronického vybírání mýtného (ISO 17573) </w:t>
      </w: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vertAlign w:val="baseline"/>
          <w:rtl w:val="0"/>
        </w:rPr>
        <w:t xml:space="preserve">(European Electronic Toll 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tabs>
          <w:tab w:val="left" w:pos="1134"/>
        </w:tabs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OBE</w:t>
        <w:tab/>
        <w:t xml:space="preserve">palubní zařízení </w:t>
      </w: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vertAlign w:val="baseline"/>
          <w:rtl w:val="0"/>
        </w:rPr>
        <w:t xml:space="preserve">(On-Board Equipment)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tabs>
          <w:tab w:val="left" w:pos="1134"/>
        </w:tabs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TSP</w:t>
        <w:tab/>
        <w:t xml:space="preserve">poskytovatel služby mýtného</w:t>
      </w: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vertAlign w:val="baseline"/>
          <w:rtl w:val="0"/>
        </w:rPr>
        <w:t xml:space="preserve">(Toll Service Provider)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tabs>
          <w:tab w:val="left" w:pos="1134"/>
        </w:tabs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TC</w:t>
        <w:tab/>
        <w:t xml:space="preserve">výběrčí mýtného </w:t>
      </w: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vertAlign w:val="baseline"/>
          <w:rtl w:val="0"/>
        </w:rPr>
        <w:t xml:space="preserve">(Toll Charger)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tabs>
          <w:tab w:val="left" w:pos="1134"/>
        </w:tabs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TD</w:t>
        <w:tab/>
        <w:t xml:space="preserve">výkaz o mýtném </w:t>
      </w: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vertAlign w:val="baseline"/>
          <w:rtl w:val="0"/>
        </w:rPr>
        <w:t xml:space="preserve">(Toll Declaration)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>
        <w:rPr>
          <w:vertAlign w:val="baseline"/>
          <w:rtl w:val="0"/>
        </w:rPr>
        <w:t xml:space="preserve">Další termíny a zkratky z oboru ITS jsou obsaženy ve slovníku ITS terminology (www.ITSterminology.org).</w:t>
      </w:r>
    </w:p>
    <w:p w:rsidR="00000000" w:rsidDel="00000000" w:rsidP="00000000" w:rsidRDefault="00000000" w:rsidRPr="00000000">
      <w:pPr>
        <w:pBdr/>
        <w:tabs>
          <w:tab w:val="left" w:pos="1134"/>
        </w:tabs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5 Zkušební rámec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pBdr/>
        <w:spacing w:before="240" w:lineRule="auto"/>
        <w:contextualSpacing w:val="0"/>
        <w:rPr/>
      </w:pPr>
      <w:r w:rsidDel="00000000" w:rsidR="00000000" w:rsidRPr="00000000">
        <w:rPr>
          <w:b w:val="1"/>
          <w:vertAlign w:val="baseline"/>
          <w:rtl w:val="0"/>
        </w:rPr>
        <w:t xml:space="preserve">5.2 Metoda pro definování specifického zkušebního rámce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Tato kapitola popisuje kroky k vytvoření konkrétního zkušebního rámce pro vy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hodnocení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výkonnostních metrik pro role výběrčího mýta a poskytovatele služby mýtného v rámci konkrétního mýtného schématu. Mezi kroky uvedené v normě patří např.: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Výběr metriky a testovacího prostředí v němž lze metriky měřit;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Definice týkající se problematiky vstupních dat a zdrojů vstupních dat;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Reprezentativnost testovacích jízd.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pBdr/>
        <w:spacing w:before="240" w:lineRule="auto"/>
        <w:contextualSpacing w:val="0"/>
        <w:rPr/>
      </w:pPr>
      <w:r w:rsidDel="00000000" w:rsidR="00000000" w:rsidRPr="00000000">
        <w:rPr>
          <w:b w:val="1"/>
          <w:vertAlign w:val="baseline"/>
          <w:rtl w:val="0"/>
        </w:rPr>
        <w:t xml:space="preserve">5.3 Zdroje 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Tato kapitola se zabývá výběrem vstupních dat určených k testům jednotlivých výkonnostních metrik a skutečnostmi, jež mohou tento výběr ovlivnit. Mezi takové skutečnosti patří např. to v jaké fázi implementace se mýtný systém nachází (má vliv na dostupnost vstupních dat testů). Rovněž prezentuje seznam zdrojů referenčních dat nutných ke kontrole výsledků testů.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pBdr/>
        <w:spacing w:before="240" w:lineRule="auto"/>
        <w:contextualSpacing w:val="0"/>
        <w:rPr/>
      </w:pPr>
      <w:r w:rsidDel="00000000" w:rsidR="00000000" w:rsidRPr="00000000">
        <w:rPr>
          <w:b w:val="1"/>
          <w:vertAlign w:val="baseline"/>
          <w:rtl w:val="0"/>
        </w:rPr>
        <w:t xml:space="preserve">5.4 Metody generování vstupu (dat pro kalkulaci mýtného)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V rámci určování metody generování vstupních dat (viz výše) je nutné brát v potaz výhody a nevýhody jednotlivých metod (zejména je nutné brát ohled na počet OBE nutných pro vykonání testu, počet mýtných objektů vs. počet mýtných objektů zahrnutých v testu atd.). Tato kapitola popisuje jednotlivé metody a jejich charakteristiky.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pBdr/>
        <w:spacing w:before="240" w:lineRule="auto"/>
        <w:contextualSpacing w:val="0"/>
        <w:rPr/>
      </w:pPr>
      <w:r w:rsidDel="00000000" w:rsidR="00000000" w:rsidRPr="00000000">
        <w:rPr>
          <w:b w:val="1"/>
          <w:vertAlign w:val="baseline"/>
          <w:rtl w:val="0"/>
        </w:rPr>
        <w:t xml:space="preserve">5.5 Použitelnost metrik na jednotlivé typy mýtných schémat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Tato kapitola přiřazuje výkonnostní metriky jednotlivým typům mýtných schémat: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DSRC schéma (</w:t>
      </w:r>
      <w:r w:rsidDel="00000000" w:rsidR="00000000" w:rsidRPr="00000000">
        <w:rPr>
          <w:rtl w:val="0"/>
        </w:rPr>
        <w:t xml:space="preserve">jeden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výběrčí mýta a jeden nebo více poskytovatelů služby mýtného)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Autonomní diskrétní schéma (</w:t>
      </w:r>
      <w:r w:rsidDel="00000000" w:rsidR="00000000" w:rsidRPr="00000000">
        <w:rPr>
          <w:rtl w:val="0"/>
        </w:rPr>
        <w:t xml:space="preserve">jeden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výběrčí mýta a jeden nebo více poskytovatelů služby mýtného)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Autonomní spojité schéma (</w:t>
      </w:r>
      <w:r w:rsidDel="00000000" w:rsidR="00000000" w:rsidRPr="00000000">
        <w:rPr>
          <w:rtl w:val="0"/>
        </w:rPr>
        <w:t xml:space="preserve">jeden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výběrčí mýta a jeden nebo více poskytovatelů služby mýtného)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Jednotlivé metriky obsahují následující informace: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Datové požadavky – data nutná k výpočtu dané metriky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Volby metod pro generování vstupu v rámci vyhodnocovací fáze systému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Volby metod pro generování vstupu v rámci monitorovací fáze systému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pBdr/>
        <w:spacing w:before="240" w:lineRule="auto"/>
        <w:contextualSpacing w:val="0"/>
        <w:rPr/>
      </w:pPr>
      <w:r w:rsidDel="00000000" w:rsidR="00000000" w:rsidRPr="00000000">
        <w:rPr>
          <w:b w:val="1"/>
          <w:vertAlign w:val="baseline"/>
          <w:rtl w:val="0"/>
        </w:rPr>
        <w:t xml:space="preserve">5.6 Tabulky pro výběr výkonnostních metrik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Kapitola obsahuje šablony tabulek pro jednotlivé typy schémat, obsahující přiřazené metriky a reference na odpovídající testy z kapitoly 6 a prázdné kolonky pro volbu metody generování vstupu a hodnoty požadované výkonnosti k doplnění zodpovědným subjektem.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6 </w:t>
      </w:r>
      <w:r w:rsidDel="00000000" w:rsidR="00000000" w:rsidRPr="00000000">
        <w:rPr>
          <w:b w:val="1"/>
          <w:sz w:val="24"/>
          <w:szCs w:val="24"/>
          <w:rtl w:val="0"/>
        </w:rPr>
        <w:t xml:space="preserve">Posuzování shody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pBdr/>
        <w:spacing w:before="240" w:lineRule="auto"/>
        <w:contextualSpacing w:val="0"/>
        <w:rPr/>
      </w:pPr>
      <w:r w:rsidDel="00000000" w:rsidR="00000000" w:rsidRPr="00000000">
        <w:rPr>
          <w:b w:val="1"/>
          <w:vertAlign w:val="baseline"/>
          <w:rtl w:val="0"/>
        </w:rPr>
        <w:t xml:space="preserve">6.1 Společné kontrolní testy (a pro diskrétní DSRC systémy)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Tato kapitola obsahuje definice 24 výkonnostních metrik (specifických či end-to-end metrik) pro všechny typy systémů, společně s vysvětlením k čemu je možné danou metriku použít (resp. k měření jaké veličiny v rámci procesů mýtného systému) a definicí metody pro její výpočet. 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spacing w:after="120" w:before="0" w:line="240" w:lineRule="auto"/>
        <w:ind w:left="720" w:hanging="360"/>
        <w:contextualSpacing w:val="1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diskrétní DSRC systémy (5 výkonnostních metrik)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spacing w:after="120" w:before="0" w:line="240" w:lineRule="auto"/>
        <w:ind w:left="720" w:hanging="360"/>
        <w:contextualSpacing w:val="1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autonomní diskrétní systémy (18 výkonnostních metrik)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spacing w:after="120" w:before="0" w:line="240" w:lineRule="auto"/>
        <w:ind w:left="720" w:hanging="360"/>
        <w:contextualSpacing w:val="1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autonomní spojité systémy (16 výkonnostních metrik)</w:t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Příloha A (informativní</w:t>
      </w:r>
      <w:r w:rsidDel="00000000" w:rsidR="00000000" w:rsidRPr="00000000">
        <w:rPr>
          <w:b w:val="1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– Šablona záznamu zkušebního testu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Příloha A obsahuje šablonu pro záznam z běhu zkušebního testu výkonnostní metriky.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Příloha B (informativní) – Faktory nutné brát v potaz v rámci definice rámce zkoušek (</w:t>
      </w:r>
      <w:r w:rsidDel="00000000" w:rsidR="00000000" w:rsidRPr="00000000">
        <w:rPr>
          <w:b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nformativní)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Příloha B obsahuje přehled faktorů, jež je doporučeno brát v potaz v rámci procesu definice konkrétního rámce zkušebních testů (např. fázi v níž se mýtný systém nachází, použitá technologie v rámci mýtného systému a její vliv na uvažované výkonnostní metriky, apod.).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Příloha C (informativní) – Aspekty statistiky a pravděpodobnosti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Příloha C obsahuje </w:t>
      </w:r>
      <w:r w:rsidDel="00000000" w:rsidR="00000000" w:rsidRPr="00000000">
        <w:rPr>
          <w:rtl w:val="0"/>
        </w:rPr>
        <w:t xml:space="preserve">základní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přehled základů statistiky a pravděpodobnosti, nutný k pochopení definic výpočtů metrik uvedených v normě.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Příloha D (informativní) – Metody pro redukci množství vstupních dat pro metriky s malou/velkou pravděpodobností měřených během vyhodnocovací fáze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Příloha D prezentuje 5 metod pro redukci množství vstupních dat, společně s jejich výhodami a nevýhodami.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Příloha E (informativní) – Příklad konkrétního rámce zkušebních testů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Příloha E obsahuje definici konkrétního zkušebního rámce pro diskrétní DSRC systém, definovaný pro provozovatele služby Evropského mýtného (EETS). Tyto testy ověřují vhodnost technických elementů poskytovaných provozovatelem služby Evropského mýtného a jejich použití v rámci domény diskrétního DSRC systému ( např. míru detekce OBU poskytovaných provozovatelem EETS služby atd.).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/>
      <w:pgMar w:bottom="1134" w:top="1134" w:left="1021" w:right="964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/>
      <w:spacing w:after="120" w:before="0" w:line="240" w:lineRule="auto"/>
      <w:ind w:right="360" w:firstLine="360"/>
      <w:contextualSpacing w:val="0"/>
      <w:jc w:val="center"/>
      <w:rPr/>
    </w:pPr>
    <w:r w:rsidDel="00000000" w:rsidR="00000000" w:rsidRPr="00000000">
      <w:rPr>
        <w:rFonts w:ascii="Arial" w:cs="Arial" w:eastAsia="Arial" w:hAnsi="Arial"/>
        <w:b w:val="0"/>
        <w:sz w:val="18"/>
        <w:szCs w:val="18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/>
      <w:spacing w:after="120" w:before="0" w:line="240" w:lineRule="auto"/>
      <w:contextualSpacing w:val="0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3"/>
      <w:numFmt w:val="bullet"/>
      <w:lvlText w:val="-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  <w:vertAlign w:val="baseli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firstLine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firstLine="19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firstLine="414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firstLine="63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80" w:before="240" w:line="240" w:lineRule="auto"/>
      <w:jc w:val="left"/>
    </w:pPr>
    <w:rPr>
      <w:rFonts w:ascii="Arial" w:cs="Arial" w:eastAsia="Arial" w:hAnsi="Arial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120" w:line="240" w:lineRule="auto"/>
      <w:jc w:val="left"/>
    </w:pPr>
    <w:rPr>
      <w:rFonts w:ascii="Arial" w:cs="Arial" w:eastAsia="Arial" w:hAnsi="Arial"/>
      <w:b w:val="1"/>
      <w:sz w:val="20"/>
      <w:szCs w:val="20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120" w:before="120" w:line="240" w:lineRule="auto"/>
      <w:jc w:val="left"/>
    </w:pPr>
    <w:rPr>
      <w:rFonts w:ascii="Arial" w:cs="Arial" w:eastAsia="Arial" w:hAnsi="Arial"/>
      <w:b w:val="1"/>
      <w:sz w:val="20"/>
      <w:szCs w:val="20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120" w:before="120" w:line="240" w:lineRule="auto"/>
      <w:jc w:val="left"/>
    </w:pPr>
    <w:rPr>
      <w:rFonts w:ascii="Arial" w:cs="Arial" w:eastAsia="Arial" w:hAnsi="Arial"/>
      <w:b w:val="1"/>
      <w:sz w:val="20"/>
      <w:szCs w:val="20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120" w:before="120" w:line="240" w:lineRule="auto"/>
      <w:jc w:val="left"/>
    </w:pPr>
    <w:rPr>
      <w:rFonts w:ascii="Arial" w:cs="Arial" w:eastAsia="Arial" w:hAnsi="Arial"/>
      <w:b w:val="1"/>
      <w:sz w:val="20"/>
      <w:szCs w:val="20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120" w:before="120" w:line="240" w:lineRule="auto"/>
      <w:jc w:val="left"/>
    </w:pPr>
    <w:rPr>
      <w:rFonts w:ascii="Arial" w:cs="Arial" w:eastAsia="Arial" w:hAnsi="Arial"/>
      <w:b w:val="1"/>
      <w:sz w:val="20"/>
      <w:szCs w:val="2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