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03.220.20,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>
                <w:rFonts w:cs="Tahoma"/>
                <w:sz w:val="36"/>
                <w:szCs w:val="36"/>
                <w:lang w:bidi="zxx"/>
              </w:rPr>
              <w:t>Dopravní telematika – Automatická identifikace vozidel, zařízení a nákladů – Architektura a terminologie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14814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01 8339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1.1.2007</w:t>
        <w:tab/>
        <w:t>20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>Tato norma je první ze skupiny norem zaměřených na automatickou identifikaci vozidla, nákladu či položky zařízení pro účely telematických aplikací. Popisuje architekturu systému automatické identifikace, tato architektura je rozdělena do 5 úrovní na koncepční, funkční, datovou, aplikační a implementační. Jako každý dokument o architektuře je i tento spíše koncepční, zavádí pojmy a vymezuje prostor pro další normy z této skupiny. Norma se nezabývá fyzickými aspekty jako je např. rozhraní, není závislá ani na frekvenci či radiovém rozhraní.</w:t>
      </w:r>
    </w:p>
    <w:p>
      <w:pPr>
        <w:pStyle w:val="Textnormy"/>
        <w:rPr/>
      </w:pPr>
      <w:r>
        <w:rPr/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</w:t>
      </w:r>
      <w:r>
        <w:rPr/>
        <w:t>poskytuje referenční model architektury pro AVI/AEI systémy</w:t>
      </w:r>
      <w:r>
        <w:rPr>
          <w:spacing w:val="-2"/>
        </w:rPr>
        <w:t xml:space="preserve"> a slouží jako základní norma stanovující terminologii. Je důležitá, ale ne nezbytná, pro práci s dalšími normami v oblasti automatické identifikace vozidel a nákladů. </w:t>
      </w:r>
      <w:r>
        <w:rPr/>
        <w:t xml:space="preserve">Slouží jako „rozcestník“ tím, že popisuje, co v rámci architektury je obsaženo v té které normě AVI/AEI. </w:t>
      </w:r>
      <w:r>
        <w:rPr>
          <w:spacing w:val="-2"/>
        </w:rPr>
        <w:t>Pro pochopení normy je nezbytné si přečíst její přílohu uvádějící příklady popisovaných architektur.</w:t>
      </w:r>
    </w:p>
    <w:p>
      <w:pPr>
        <w:pStyle w:val="Textnormy"/>
        <w:rPr/>
      </w:pPr>
      <w:r>
        <w:rPr/>
        <w:t>Jak pro</w:t>
      </w:r>
      <w:r>
        <w:rPr>
          <w:b/>
        </w:rPr>
        <w:t xml:space="preserve"> orgány státní správy, </w:t>
      </w:r>
      <w:r>
        <w:rPr/>
        <w:t xml:space="preserve">tak i pro </w:t>
      </w:r>
      <w:r>
        <w:rPr>
          <w:b/>
        </w:rPr>
        <w:t>výrobce zařízení a dodavatele telematických systémů</w:t>
      </w:r>
      <w:r>
        <w:rPr/>
        <w:t xml:space="preserve"> má norma stejný, informativní význam. Uživatelé v ní naleznou velmi obecný popis referenční architektury AVI/AEI systémů.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>Tato norma specifikuje celkovou architekturu systémů pro automatickou identifikaci vozidel a zařízení (AVI/AEI) v pěti úrovních. Jedná se o koncepční, funkční, datovou, aplikační a implementační architekturu. Každý typ architektury je obecně popsán a je uveden odkaz na normu v rámci norem AVI/AEI, která danou problematiku řeší (například datová architektura v EN ISO 14816). Dále jsou zde uvedeny základní termíny a definice systému AVI/AEI.</w:t>
      </w:r>
    </w:p>
    <w:p>
      <w:pPr>
        <w:pStyle w:val="Textnormy"/>
        <w:rPr/>
      </w:pPr>
      <w:r>
        <w:rPr/>
        <w:t>Popis jednotlivých typů architektur je uveden v hlavním těle normy; podrobnější rozvedení popisu a použití je uvedeno v příloze A.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Souvisící normy</w:t>
      </w:r>
    </w:p>
    <w:p>
      <w:pPr>
        <w:pStyle w:val="Textnormy"/>
        <w:rPr/>
      </w:pPr>
      <w:r>
        <w:rPr/>
        <w:t xml:space="preserve">Čtenáři této normy nepotřebují pro její pochopení žádné další normy. Tato norma definuje architekturu norem automatické identifikace vozidel, a proto souvisí se všemi normami AVI/AEI.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rPr/>
      </w:pPr>
      <w:r>
        <w:rPr/>
        <w:t xml:space="preserve">V normě je uvedeno 28 termínů, z nichž klíčové jsou následující:</w:t>
      </w:r>
    </w:p>
    <w:p>
      <w:pPr>
        <w:pStyle w:val="Textnormy"/>
        <w:spacing w:before="120" w:after="120"/>
        <w:rPr/>
      </w:pPr>
      <w:r>
        <w:rPr>
          <w:b/>
        </w:rPr>
        <w:t xml:space="preserve">automatická identifikace zařízení AEI</w:t>
      </w:r>
      <w:r>
        <w:rPr/>
        <w:t xml:space="preserve"> </w:t>
      </w:r>
      <w:r>
        <w:rPr>
          <w:i/>
        </w:rPr>
        <w:t xml:space="preserve">(automatic equipment identification AEI)</w:t>
      </w:r>
      <w:r>
        <w:rPr/>
        <w:t xml:space="preserve"> – proces zjištění totožnosti zařízení nebo entit, které se používají při dopravě na pozemních komunikacích pomocí OBE obsahující jednoznačnou strukturu dat definovanou v této normě</w:t>
      </w:r>
    </w:p>
    <w:p>
      <w:pPr>
        <w:pStyle w:val="Textnormy"/>
        <w:spacing w:before="120" w:after="120"/>
        <w:rPr/>
      </w:pPr>
      <w:r>
        <w:rPr>
          <w:b/>
        </w:rPr>
        <w:t xml:space="preserve">automatická identifikace vozidla AVI</w:t>
      </w:r>
      <w:r>
        <w:rPr/>
        <w:t xml:space="preserve"> </w:t>
      </w:r>
      <w:r>
        <w:rPr>
          <w:i/>
        </w:rPr>
        <w:t xml:space="preserve">(automatic vehicle identification AVI)</w:t>
      </w:r>
      <w:r>
        <w:rPr/>
        <w:t xml:space="preserve"> – proces identifikace vozidla za použití jednoznačné datové struktury, jež je uložena v OBE, definované touto normou</w:t>
      </w:r>
    </w:p>
    <w:p>
      <w:pPr>
        <w:pStyle w:val="Textnormy"/>
        <w:spacing w:before="120" w:after="120"/>
        <w:rPr/>
      </w:pPr>
      <w:r>
        <w:rPr>
          <w:b/>
        </w:rPr>
        <w:t xml:space="preserve">palubní zařízení OBE</w:t>
      </w:r>
      <w:r>
        <w:rPr/>
        <w:t xml:space="preserve"> </w:t>
      </w:r>
      <w:r>
        <w:rPr>
          <w:i/>
        </w:rPr>
        <w:t xml:space="preserve">(on-board equipment OBE)</w:t>
      </w:r>
      <w:r>
        <w:rPr/>
        <w:t xml:space="preserve"> – zařízení zajišťující funkci AVI/AEI umístěné ve vozidle nebo jeho dalším zařízení</w:t>
      </w:r>
    </w:p>
    <w:p>
      <w:pPr>
        <w:pStyle w:val="Textnormy"/>
        <w:rPr/>
      </w:pPr>
      <w:r>
        <w:rPr/>
        <w:t xml:space="preserve">Další termíny a zkratky z oboru ITS jsou obsaženy ve slovníku ITS terminology (www.ITSterminology.org).</w:t>
      </w:r>
    </w:p>
    <w:p>
      <w:pPr>
        <w:pStyle w:val="Textnormy"/>
        <w:rPr/>
      </w:pPr>
      <w:r>
        <w:rPr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Požadavky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Tato kapitola je rozdělena do několika článků, kde je systém AVI/AEI rozebrán do pěti typů architektury ve shodě s doporučeními skupiny TC278 WG1 Architektura. V článku 4.2 Koncepční architektura norma stanovuje široký rozsah použitelnosti AVI/AEI vedoucí, pokud je zajištěno společné rozhraní, k zajištění interoperability systémů s různými vlastnostmi, a to i v mezinárodním prostředí. 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Článek 4.3 Funkční architektura popisuje hlavní účel AVI/AEI, kterým je poskytnout jednoznačnou identifikaci.  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Článek 4.4 Datová architektura stanovuje použití zápisu syntaxe ASN.1 pro popis datových prvků či konstrukcí a také jejich rozšiřitelnost, tak aby je bylo možné použít pro rozmanité aplikace vyžadující identifikaci. Poskytuje odkaz na normu 14816, která se datovou architekturou podrobně zabývá. </w:t>
      </w:r>
    </w:p>
    <w:p>
      <w:pPr>
        <w:pStyle w:val="Textnormy"/>
        <w:rPr>
          <w:lang w:bidi="zxx"/>
        </w:rPr>
      </w:pPr>
      <w:r>
        <w:rPr>
          <w:lang w:bidi="zxx"/>
        </w:rPr>
        <w:t>V článku 4.5 Aplikační architektura jsou rámcově stanoveny požadavky na systém AVI/AEI a rozhraní, ty jsou dále pokryty v normách 14816 Specifikace systému a 17264 Rozhraní.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V článku 4.6 Implementační architektura jsou popsány velmi stručně implementační aspekty s tím, že implementace mohou být různé, že závisí hlavně na výrobci a že implementace již není předmětem norem AVI/AEI. 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Celkově jsou architektuře v hlavním těle normy věnovány 3 stránky, to znamená, že pro pochopení musela být připojena informativní příloha.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(informativní) Kontext ITS/RTTT modelu referenční architektury AVI/AEI</w:t>
      </w:r>
    </w:p>
    <w:p>
      <w:pPr>
        <w:pStyle w:val="Textnormy"/>
        <w:rPr>
          <w:b/>
        </w:rPr>
      </w:pPr>
      <w:r>
        <w:rPr>
          <w:b/>
        </w:rPr>
        <w:t>A.1 Koncepční architektura</w:t>
      </w:r>
    </w:p>
    <w:p>
      <w:pPr>
        <w:pStyle w:val="Textnormy"/>
        <w:rPr>
          <w:lang w:bidi="zxx"/>
        </w:rPr>
      </w:pPr>
      <w:r>
        <w:rPr>
          <w:lang w:bidi="zxx"/>
        </w:rPr>
        <w:t>Interoperabilita je zajištěna, pokud existuje společné rozhraní v referenčním bodu delta. Jsou zde stručně popsány jednotlivé bloky a referenční rozhraní konceptuální architektury, viz obrázek 1.</w:t>
      </w:r>
    </w:p>
    <w:p>
      <w:pPr>
        <w:pStyle w:val="Textnormy"/>
        <w:rPr>
          <w:lang w:bidi="zxx"/>
        </w:rPr>
      </w:pPr>
      <w:r>
        <w:rPr/>
        <w:drawing>
          <wp:inline distT="0" distB="0" distL="0" distR="0">
            <wp:extent cx="5756275" cy="199136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17" r="-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99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b/>
        </w:rPr>
      </w:pPr>
      <w:r>
        <w:rPr>
          <w:rFonts w:cs="Arial"/>
          <w:b/>
          <w:iCs/>
        </w:rPr>
        <w:t>Obrázek A.1</w:t>
      </w:r>
      <w:r>
        <w:rPr>
          <w:rFonts w:cs="Arial"/>
          <w:b/>
        </w:rPr>
        <w:t xml:space="preserve"> – Koncepční model architektury systému AVI/AEI</w:t>
      </w:r>
    </w:p>
    <w:p>
      <w:pPr>
        <w:pStyle w:val="Textnormy"/>
        <w:rPr>
          <w:b/>
        </w:rPr>
      </w:pPr>
      <w:r>
        <w:rPr>
          <w:rFonts w:cs="Arial"/>
          <w:b/>
        </w:rPr>
      </w:r>
    </w:p>
    <w:p>
      <w:pPr>
        <w:pStyle w:val="Textnormy"/>
        <w:rPr>
          <w:b/>
        </w:rPr>
      </w:pPr>
      <w:r>
        <w:rPr>
          <w:b/>
        </w:rPr>
        <w:t>Vysvětlení referenčních bodů:</w:t>
      </w:r>
    </w:p>
    <w:p>
      <w:pPr>
        <w:pStyle w:val="Seznamvnorm"/>
        <w:numPr>
          <w:ilvl w:val="0"/>
          <w:numId w:val="2"/>
        </w:numPr>
        <w:rPr/>
      </w:pPr>
      <w:r>
        <w:rPr/>
        <w:t>Alfa: Referenční bod, který vymezuje hranice funkcí centrálního systému a lokálního systému.</w:t>
      </w:r>
    </w:p>
    <w:p>
      <w:pPr>
        <w:pStyle w:val="Seznamvnorm"/>
        <w:numPr>
          <w:ilvl w:val="0"/>
          <w:numId w:val="2"/>
        </w:numPr>
        <w:rPr/>
      </w:pPr>
      <w:r>
        <w:rPr/>
        <w:t>Beta: Referenční bod, kde data, příkazy apod. od pevného řízení komunikace přebírají funkce lokálního systému a obráceně.</w:t>
      </w:r>
    </w:p>
    <w:p>
      <w:pPr>
        <w:pStyle w:val="Seznamvnorm"/>
        <w:numPr>
          <w:ilvl w:val="0"/>
          <w:numId w:val="2"/>
        </w:numPr>
        <w:rPr/>
      </w:pPr>
      <w:r>
        <w:rPr/>
        <w:t>Gama: Mezi pevným řízením komunikace a adaptací média.</w:t>
      </w:r>
    </w:p>
    <w:p>
      <w:pPr>
        <w:pStyle w:val="Seznamvnorm"/>
        <w:numPr>
          <w:ilvl w:val="0"/>
          <w:numId w:val="2"/>
        </w:numPr>
        <w:rPr/>
      </w:pPr>
      <w:r>
        <w:rPr/>
        <w:t>Delta: Mezi palubním a pevným zařízením. Tento referenční bod obvykle odpovídá bezdrátovému rozhraní vyhrazeného spojení krátkého dosahu (DSRC).</w:t>
      </w:r>
    </w:p>
    <w:p>
      <w:pPr>
        <w:pStyle w:val="Seznamvnorm"/>
        <w:numPr>
          <w:ilvl w:val="0"/>
          <w:numId w:val="2"/>
        </w:numPr>
        <w:rPr/>
      </w:pPr>
      <w:r>
        <w:rPr/>
        <w:t>Epsilon: Referenční bod mezi adaptací média a palubním řízení komunikace.</w:t>
      </w:r>
    </w:p>
    <w:p>
      <w:pPr>
        <w:pStyle w:val="Seznamvnorm"/>
        <w:numPr>
          <w:ilvl w:val="0"/>
          <w:numId w:val="2"/>
        </w:numPr>
        <w:rPr/>
      </w:pPr>
      <w:r>
        <w:rPr/>
        <w:t>Zeta: Referenční bod mezi palubním řízením komunikace a aplikačními procesy.</w:t>
      </w:r>
    </w:p>
    <w:p>
      <w:pPr>
        <w:pStyle w:val="Textnormy"/>
        <w:rPr>
          <w:b/>
        </w:rPr>
      </w:pPr>
      <w:r>
        <w:rPr>
          <w:b/>
        </w:rPr>
      </w:r>
    </w:p>
    <w:p>
      <w:pPr>
        <w:pStyle w:val="Textnormy"/>
        <w:rPr>
          <w:b/>
        </w:rPr>
      </w:pPr>
      <w:r>
        <w:rPr>
          <w:b/>
        </w:rPr>
        <w:t>A.2 Funkční architektura</w:t>
      </w:r>
    </w:p>
    <w:p>
      <w:pPr>
        <w:pStyle w:val="Textnormy"/>
        <w:rPr>
          <w:lang w:bidi="zxx"/>
        </w:rPr>
      </w:pPr>
      <w:r>
        <w:rPr>
          <w:lang w:bidi="zxx"/>
        </w:rPr>
        <w:t>Popisuje informační tok vedoucí k jednoznačné identifikaci. Tento tok je ukotven v čase a k určitému rozhraní, je stanovena posloupnost operací. Popis je založen na náčrtu vycházejícím z obrázku 1.</w:t>
      </w:r>
    </w:p>
    <w:p>
      <w:pPr>
        <w:pStyle w:val="Textnormy"/>
        <w:rPr>
          <w:b/>
        </w:rPr>
      </w:pPr>
      <w:r>
        <w:rPr>
          <w:b/>
        </w:rPr>
        <w:t>A.3 Aplikační architektura</w:t>
      </w:r>
    </w:p>
    <w:p>
      <w:pPr>
        <w:pStyle w:val="Textnormy"/>
        <w:rPr>
          <w:lang w:bidi="zxx"/>
        </w:rPr>
      </w:pPr>
      <w:r>
        <w:rPr>
          <w:lang w:bidi="zxx"/>
        </w:rPr>
        <w:t xml:space="preserve">Na obrázku vycházejícím z obrázku 1 popisuje, jak může být aplikační architektura navázána na konceptuální schéma. Tento popis je pouze obecného charakteru, protože se může případ od případu lišit. </w:t>
      </w:r>
    </w:p>
    <w:p>
      <w:pPr>
        <w:pStyle w:val="Textnormy"/>
        <w:rPr>
          <w:b/>
        </w:rPr>
      </w:pPr>
      <w:r>
        <w:rPr>
          <w:b/>
        </w:rPr>
        <w:t>A.4 Objektově orientovaný model architektury</w:t>
      </w:r>
    </w:p>
    <w:p>
      <w:pPr>
        <w:pStyle w:val="Textnormy"/>
        <w:rPr>
          <w:lang w:bidi="zxx"/>
        </w:rPr>
      </w:pPr>
      <w:r>
        <w:rPr>
          <w:lang w:bidi="zxx"/>
        </w:rPr>
        <w:t>Převádí obrázky uvedené v předchozích článcích do objektově orientovaného popisu, viz obrázek 2.</w:t>
      </w:r>
    </w:p>
    <w:p>
      <w:pPr>
        <w:pStyle w:val="Textnormy"/>
        <w:rPr>
          <w:lang w:bidi="zxx"/>
        </w:rPr>
      </w:pPr>
      <w:r>
        <w:rPr/>
        <w:drawing>
          <wp:inline distT="0" distB="0" distL="0" distR="0">
            <wp:extent cx="5756275" cy="358203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cs="Arial"/>
          <w:b/>
        </w:rPr>
      </w:pPr>
      <w:r>
        <w:rPr>
          <w:rFonts w:cs="Arial"/>
          <w:b/>
          <w:iCs/>
        </w:rPr>
        <w:t>Obrázek A.4 –</w:t>
      </w:r>
      <w:r>
        <w:rPr>
          <w:rFonts w:cs="Arial"/>
          <w:b/>
        </w:rPr>
        <w:t xml:space="preserve"> Koncepční model systému AVI/AEI ukazující jeho třídy a klíčové definice</w:t>
      </w:r>
    </w:p>
    <w:p>
      <w:pPr>
        <w:pStyle w:val="Textnormy"/>
        <w:spacing w:before="0" w:after="120"/>
        <w:rPr>
          <w:lang w:bidi="zxx"/>
        </w:rPr>
      </w:pPr>
      <w:r>
        <w:rPr>
          <w:rFonts w:cs="Arial"/>
          <w:b/>
          <w:lang w:bidi="zxx"/>
        </w:rPr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Arial Unicode MS"/>
      <w:sz w:val="18"/>
      <w:szCs w:val="18"/>
    </w:rPr>
  </w:style>
  <w:style w:type="character" w:styleId="WW8Num2z1">
    <w:name w:val="WW8Num2z1"/>
    <w:qFormat/>
    <w:rPr>
      <w:rFonts w:ascii="Wingdings 2" w:hAnsi="Wingdings 2" w:cs="StarSymbol;Arial Unicode MS"/>
      <w:sz w:val="18"/>
      <w:szCs w:val="18"/>
    </w:rPr>
  </w:style>
  <w:style w:type="character" w:styleId="WW8Num2z2">
    <w:name w:val="WW8Num2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3z0">
    <w:name w:val="WW8Num3z0"/>
    <w:qFormat/>
    <w:rPr>
      <w:rFonts w:ascii="Wingdings" w:hAnsi="Wingdings" w:cs="StarSymbol;Arial Unicode MS"/>
      <w:sz w:val="18"/>
      <w:szCs w:val="18"/>
    </w:rPr>
  </w:style>
  <w:style w:type="character" w:styleId="WW8Num3z1">
    <w:name w:val="WW8Num3z1"/>
    <w:qFormat/>
    <w:rPr>
      <w:rFonts w:ascii="Wingdings 2" w:hAnsi="Wingdings 2" w:cs="StarSymbol;Arial Unicode MS"/>
      <w:sz w:val="18"/>
      <w:szCs w:val="18"/>
    </w:rPr>
  </w:style>
  <w:style w:type="character" w:styleId="WW8Num3z2">
    <w:name w:val="WW8Num3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5z0">
    <w:name w:val="WW8Num5z0"/>
    <w:qFormat/>
    <w:rPr>
      <w:rFonts w:ascii="Wingdings" w:hAnsi="Wingdings" w:cs="StarSymbol;Arial Unicode MS"/>
      <w:sz w:val="18"/>
      <w:szCs w:val="18"/>
    </w:rPr>
  </w:style>
  <w:style w:type="character" w:styleId="WW8Num5z1">
    <w:name w:val="WW8Num5z1"/>
    <w:qFormat/>
    <w:rPr>
      <w:rFonts w:ascii="Wingdings 2" w:hAnsi="Wingdings 2" w:cs="StarSymbol;Arial Unicode MS"/>
      <w:sz w:val="18"/>
      <w:szCs w:val="18"/>
    </w:rPr>
  </w:style>
  <w:style w:type="character" w:styleId="WW8Num5z2">
    <w:name w:val="WW8Num5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0">
    <w:name w:val="WW8Num6z0"/>
    <w:qFormat/>
    <w:rPr>
      <w:rFonts w:ascii="Arial" w:hAnsi="Arial" w:cs="Arial"/>
      <w:sz w:val="18"/>
      <w:szCs w:val="18"/>
    </w:rPr>
  </w:style>
  <w:style w:type="character" w:styleId="WW8Num6z1">
    <w:name w:val="WW8Num6z1"/>
    <w:qFormat/>
    <w:rPr>
      <w:rFonts w:ascii="Wingdings 2" w:hAnsi="Wingdings 2" w:cs="StarSymbol;Arial Unicode MS"/>
      <w:sz w:val="18"/>
      <w:szCs w:val="18"/>
    </w:rPr>
  </w:style>
  <w:style w:type="character" w:styleId="WW8Num6z2">
    <w:name w:val="WW8Num6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6z3">
    <w:name w:val="WW8Num6z3"/>
    <w:qFormat/>
    <w:rPr>
      <w:rFonts w:ascii="Wingdings" w:hAnsi="Wingdings" w:cs="StarSymbol;Arial Unicode MS"/>
      <w:sz w:val="18"/>
      <w:szCs w:val="18"/>
    </w:rPr>
  </w:style>
  <w:style w:type="character" w:styleId="WW8Num7z0">
    <w:name w:val="WW8Num7z0"/>
    <w:qFormat/>
    <w:rPr>
      <w:rFonts w:ascii="Arial" w:hAnsi="Arial" w:cs="Arial"/>
      <w:sz w:val="18"/>
      <w:szCs w:val="18"/>
    </w:rPr>
  </w:style>
  <w:style w:type="character" w:styleId="WW8Num7z1">
    <w:name w:val="WW8Num7z1"/>
    <w:qFormat/>
    <w:rPr>
      <w:rFonts w:ascii="Wingdings 2" w:hAnsi="Wingdings 2" w:cs="StarSymbol;Arial Unicode MS"/>
      <w:sz w:val="18"/>
      <w:szCs w:val="18"/>
    </w:rPr>
  </w:style>
  <w:style w:type="character" w:styleId="WW8Num7z2">
    <w:name w:val="WW8Num7z2"/>
    <w:qFormat/>
    <w:rPr>
      <w:rFonts w:ascii="StarSymbol;Arial Unicode MS" w:hAnsi="StarSymbol;Arial Unicode MS" w:cs="StarSymbol;Arial Unicode MS"/>
      <w:sz w:val="18"/>
      <w:szCs w:val="18"/>
    </w:rPr>
  </w:style>
  <w:style w:type="character" w:styleId="WW8Num7z3">
    <w:name w:val="WW8Num7z3"/>
    <w:qFormat/>
    <w:rPr>
      <w:rFonts w:ascii="Wingdings" w:hAnsi="Wingdings" w:cs="StarSymbol;Arial Unicode MS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Seznamvnorm">
    <w:name w:val="Seznam v normě"/>
    <w:basedOn w:val="Textnormy"/>
    <w:qFormat/>
    <w:pPr>
      <w:numPr>
        <w:ilvl w:val="0"/>
        <w:numId w:val="2"/>
      </w:numPr>
      <w:tabs>
        <w:tab w:val="clear" w:pos="708"/>
      </w:tabs>
      <w:ind w:hanging="284" w:start="284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2008-11-14T10:16:00Z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2008-11-14T10:16:00Z</dcterms:modified>
  <cp:revision>3</cp:revision>
  <dc:subject/>
  <dc:title>ČESKÁ TECHNICKÁ NORMA</dc:title>
</cp:coreProperties>
</file>