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EXTRAKT z české technické normy</w:t>
      </w:r>
    </w:p>
    <w:p>
      <w:pPr>
        <w:pStyle w:val="Textnormy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40"/>
          <w:szCs w:val="40"/>
        </w:rPr>
      </w:pPr>
      <w:r>
        <w:rPr>
          <w:b/>
          <w:sz w:val="40"/>
          <w:szCs w:val="40"/>
        </w:rPr>
        <w:t>ICS 03.220.20, 35.240.60</w:t>
        <w:tab/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>
                <w:rFonts w:cs="Tahoma"/>
                <w:sz w:val="36"/>
                <w:szCs w:val="36"/>
                <w:lang w:bidi="zxx"/>
              </w:rPr>
              <w:t>Dopravní telematika – Automatická identifikace vozidel, zařízení a nákladů – Specifikace systému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>
                <w:b w:val="false"/>
                <w:sz w:val="28"/>
              </w:rPr>
            </w:pPr>
            <w:r>
              <w:rPr/>
              <w:t>ČSN</w:t>
              <w:br/>
              <w:t>EN ISO 14815</w:t>
              <w:br/>
            </w:r>
          </w:p>
          <w:p>
            <w:pPr>
              <w:pStyle w:val="1StrTrZn"/>
              <w:spacing w:before="80" w:after="80"/>
              <w:rPr/>
            </w:pPr>
            <w:r>
              <w:rPr/>
              <w:t>01 8337</w:t>
            </w:r>
          </w:p>
        </w:tc>
      </w:tr>
    </w:tbl>
    <w:p>
      <w:pPr>
        <w:pStyle w:val="Shodnost"/>
        <w:tabs>
          <w:tab w:val="left" w:pos="7920" w:leader="none"/>
        </w:tabs>
        <w:rPr/>
      </w:pPr>
      <w:r>
        <w:rPr/>
        <w:t>Platí od 1.1.2006</w:t>
        <w:tab/>
        <w:t>39 stran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/>
      </w:pPr>
      <w:r>
        <w:rPr/>
        <w:t>Tato norma je součástí norem zaměřených na automatickou identifikaci vozidla, nákladu či položky zařízení pro účely telematických aplikací. Jejím účelem je vytvořit specifikaci systému AVI/AEI, a tak umožnit nominální interoperabilitu mezi systémy různých výrobců. Systémy AVI/AEI jsou dle různých požadavků na jejich funkčnost rozděleny v jednotlivých klíčových kategoriích do tříd, podle kterých pak vybírá systém potenciální zákazník. Zároveň s třídami jsou také stanoveny zkoušky, kterými musí systém projít, aby jej bylo možné do dané třídy zařadit. Zkoušky zaměřené na komunikační aspekty systému AVI/AEI staví na schválených frekvencích rozhraní DSRC; pokud by došlo k jejich změně, tak by bylo zapotřebí přezkoumat platnost všech stanovených parametrů.</w:t>
      </w:r>
    </w:p>
    <w:p>
      <w:pPr>
        <w:pStyle w:val="Textnormy"/>
        <w:rPr/>
      </w:pPr>
      <w:r>
        <w:rPr/>
        <w:t xml:space="preserve">Poznámka: Extrakt uvádí vybrané kapitoly popisovaného dokumentu a přejímá původní číslování kapitol.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>
          <w:spacing w:val="-2"/>
        </w:rPr>
      </w:pPr>
      <w:r>
        <w:rPr>
          <w:spacing w:val="-2"/>
        </w:rPr>
        <w:t>Stanovuje podmínky na systém AVI/AEI a třídí podle nich systém do kategorií. To umožňuje nalézt parametry interoperability dvou různých systémů. Kategorie systému souvisí i s požadavky na jejich zkoušení, hodnocení a certifikaci. Díky stanoveným kategoriím je možné si „sestavit“ vlastní systém AVI/AEI s vlastní požadovanou funkcionalitou.</w:t>
      </w:r>
    </w:p>
    <w:p>
      <w:pPr>
        <w:pStyle w:val="Textnormy"/>
        <w:rPr>
          <w:spacing w:val="-2"/>
        </w:rPr>
      </w:pPr>
      <w:r>
        <w:rPr>
          <w:b/>
        </w:rPr>
        <w:t xml:space="preserve">Pro orgány státní správy </w:t>
      </w:r>
      <w:r>
        <w:rPr>
          <w:spacing w:val="-2"/>
        </w:rPr>
        <w:t>tato norma stanovuje způsob, aby se mohli rozhodnout, ve kterých kategoriích požadují maximální výkon (nejvyšší třída) a ve kterých zase nejnižší. Od takto stanovených požadavků na systém se potom odvíjí i jeho cena.</w:t>
      </w:r>
    </w:p>
    <w:p>
      <w:pPr>
        <w:pStyle w:val="Textnormy"/>
        <w:rPr>
          <w:spacing w:val="-2"/>
        </w:rPr>
      </w:pPr>
      <w:r>
        <w:rPr>
          <w:b/>
        </w:rPr>
        <w:t>Pro výrobce zařízení a dodavatele telematických systémů</w:t>
      </w:r>
      <w:r>
        <w:rPr/>
        <w:t xml:space="preserve"> </w:t>
      </w:r>
      <w:r>
        <w:rPr>
          <w:spacing w:val="-2"/>
        </w:rPr>
        <w:t>tato norma obsahuje důležité pokyny, aby mohli vyrábět systémy s různými požadavky na funkcionalitu. Stanovuje zkoušky, kterými musí zařízení projít, aby spadalo do určitě kategorie, a v neposlední řadě stanovuje podmínky certifikace zařízení.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1 Předmět normy</w:t>
      </w:r>
    </w:p>
    <w:p>
      <w:pPr>
        <w:pStyle w:val="Textnormy"/>
        <w:rPr/>
      </w:pPr>
      <w:r>
        <w:rPr/>
        <w:t>Norma stanovuje kategorie ve funkčních a nefunkčních požadavcích na systém AVI/AEI, zkoušení těchto požadavků a popis obsahu certifikátů.</w:t>
      </w:r>
    </w:p>
    <w:p>
      <w:pPr>
        <w:pStyle w:val="Textnormy"/>
        <w:rPr/>
      </w:pPr>
      <w:r>
        <w:rPr/>
        <w:t>Norma obsahuje 5 dodatků stanovujících kategorie parametrů systému (příloha A), environmentální parametry systému (příloha B), popis shody a postup certifikace (příloha C), bezpečnost (příloha D) a označování zařízení AVI/AEI (příloha E).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 Souvisící normy</w:t>
      </w:r>
    </w:p>
    <w:p>
      <w:pPr>
        <w:pStyle w:val="Textnormy"/>
        <w:rPr/>
      </w:pPr>
      <w:r>
        <w:rPr/>
        <w:t>Vzhledem k charakteru této normy je jednoznačně požadována znalost nebo alespoň přístup k normám IEC na elektromagnetickou kompatibilitu a environmentální zkoušení. Normu je nutno dále číst v kontextu ostatních norem AVI/AEI.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 Termíny a definice</w:t>
      </w:r>
    </w:p>
    <w:p>
      <w:pPr>
        <w:pStyle w:val="Textnormy"/>
        <w:rPr/>
      </w:pPr>
      <w:r>
        <w:rPr>
          <w:b/>
        </w:rPr>
        <w:t>3.1 automatická identifikace vozidel, nákladů či zařízení</w:t>
      </w:r>
      <w:r>
        <w:rPr/>
        <w:t xml:space="preserve"> </w:t>
      </w:r>
      <w:r>
        <w:rPr>
          <w:i/>
        </w:rPr>
        <w:t>(system AVI/AEI)</w:t>
      </w:r>
      <w:r>
        <w:rPr/>
        <w:t xml:space="preserve"> obor, kterým se zabývá tato skupina norem.</w:t>
      </w:r>
    </w:p>
    <w:p>
      <w:pPr>
        <w:pStyle w:val="Textnormy"/>
        <w:rPr/>
      </w:pPr>
      <w:r>
        <w:rPr>
          <w:b/>
        </w:rPr>
        <w:t xml:space="preserve">3.7 pevné zařízení </w:t>
      </w:r>
      <w:r>
        <w:rPr>
          <w:i/>
        </w:rPr>
        <w:t>(fixed equipment FE)</w:t>
      </w:r>
      <w:r>
        <w:rPr/>
        <w:t xml:space="preserve"> </w:t>
      </w:r>
      <w:r>
        <w:rPr>
          <w:szCs w:val="18"/>
        </w:rPr>
        <w:t>zařízení potřebné pro čtení/zapisování, přijímání a interpretaci dat obsažených v palubním zařízení (OBE) za účelem identifikace</w:t>
      </w:r>
    </w:p>
    <w:p>
      <w:pPr>
        <w:pStyle w:val="Textnormy"/>
        <w:rPr/>
      </w:pPr>
      <w:r>
        <w:rPr>
          <w:b/>
        </w:rPr>
        <w:t>3.14 palubní zařízení OBE</w:t>
      </w:r>
      <w:r>
        <w:rPr/>
        <w:t xml:space="preserve"> </w:t>
      </w:r>
      <w:r>
        <w:rPr>
          <w:i/>
        </w:rPr>
        <w:t>(on-board equipment OBE)</w:t>
      </w:r>
      <w:r>
        <w:rPr/>
        <w:t xml:space="preserve"> zařízení zajišťující funkci AVI/AEI umístěné ve vozidle nebo jeho dalším zařízení </w:t>
      </w:r>
    </w:p>
    <w:p>
      <w:pPr>
        <w:pStyle w:val="Textnormy"/>
        <w:rPr/>
      </w:pPr>
      <w:r>
        <w:rPr/>
        <w:t xml:space="preserve">Další termíny a zkratky z oboru ITS jsou obsaženy ve slovníku ITS terminology.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4 Symboly a zkratky</w:t>
      </w:r>
    </w:p>
    <w:p>
      <w:pPr>
        <w:pStyle w:val="Textnormy"/>
        <w:rPr/>
      </w:pPr>
      <w:r>
        <w:rPr>
          <w:b/>
        </w:rPr>
        <w:t xml:space="preserve">DSRC </w:t>
      </w:r>
      <w:r>
        <w:rPr/>
        <w:t xml:space="preserve">vyhrazené spojení krátkého dosahu </w:t>
      </w:r>
    </w:p>
    <w:p>
      <w:pPr>
        <w:pStyle w:val="Textnormy"/>
        <w:rPr>
          <w:lang w:bidi="zxx"/>
        </w:rPr>
      </w:pPr>
      <w:r>
        <w:rPr>
          <w:lang w:bidi="zxx"/>
        </w:rPr>
        <w:t xml:space="preserve">GET (?) </w:t>
      </w:r>
    </w:p>
    <w:p>
      <w:pPr>
        <w:pStyle w:val="Textnormy"/>
        <w:rPr>
          <w:lang w:bidi="zxx"/>
        </w:rPr>
      </w:pPr>
      <w:r>
        <w:rPr>
          <w:lang w:bidi="zxx"/>
        </w:rPr>
        <w:t>SET (?) oboje viz 5.3.4</w:t>
      </w:r>
    </w:p>
    <w:p>
      <w:pPr>
        <w:pStyle w:val="Textnormy"/>
        <w:rPr>
          <w:lang w:bidi="zxx"/>
        </w:rPr>
      </w:pPr>
      <w:r>
        <w:rPr>
          <w:b/>
        </w:rPr>
        <w:t>MTBF</w:t>
      </w:r>
      <w:r>
        <w:rPr/>
        <w:t xml:space="preserve"> střední doba mezi výskyty chyby zařízení </w:t>
      </w:r>
    </w:p>
    <w:p>
      <w:pPr>
        <w:pStyle w:val="Textnormy"/>
        <w:rPr/>
      </w:pPr>
      <w:r>
        <w:rPr/>
        <w:t xml:space="preserve">Další termíny a zkratky z oboru ITS jsou obsaženy ve slovníku ITS terminology (www.ITSterminology.org).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5 Požadavky </w:t>
      </w:r>
    </w:p>
    <w:p>
      <w:pPr>
        <w:pStyle w:val="Textnormy"/>
        <w:rPr>
          <w:b/>
        </w:rPr>
      </w:pPr>
      <w:r>
        <w:rPr>
          <w:b/>
        </w:rPr>
        <w:t>5.1 Obecná specifikace systémů AVI/AEI</w:t>
      </w:r>
    </w:p>
    <w:p>
      <w:pPr>
        <w:pStyle w:val="Textnormy"/>
        <w:rPr/>
      </w:pPr>
      <w:r>
        <w:rPr/>
        <w:t>Tato specifikace potvrzuje základní požadavky na datovou a provozní kompatibilitu systémů AVI/AEI vedoucí k zajištění jejich nominální interoperability. Stanovuje, že zařízení na straně infrastruktury musí být schopné fungovat s různými OBE a vyhovující různým provozním a environmentálním třídám. Dále zmiňuje nutnost používat stejné komunikační rozhraní a strukturu dat.</w:t>
      </w:r>
    </w:p>
    <w:p>
      <w:pPr>
        <w:pStyle w:val="Textnormy"/>
        <w:rPr>
          <w:b/>
        </w:rPr>
      </w:pPr>
      <w:r>
        <w:rPr>
          <w:b/>
        </w:rPr>
        <w:t>5.2 Specifikace systému: architektura</w:t>
      </w:r>
    </w:p>
    <w:p>
      <w:pPr>
        <w:pStyle w:val="Textnormy"/>
        <w:rPr/>
      </w:pPr>
      <w:r>
        <w:rPr/>
        <w:t xml:space="preserve">V tomto článku je nastíněna vize systému AVI/AEI a poslání systémové specifikace. </w:t>
      </w:r>
    </w:p>
    <w:p>
      <w:pPr>
        <w:pStyle w:val="Textnormy"/>
        <w:rPr>
          <w:i/>
        </w:rPr>
      </w:pPr>
      <w:r>
        <w:rPr>
          <w:b/>
        </w:rPr>
        <w:t>Vize</w:t>
      </w:r>
      <w:r>
        <w:rPr/>
        <w:t xml:space="preserve">: </w:t>
      </w:r>
      <w:r>
        <w:rPr>
          <w:i/>
        </w:rPr>
        <w:t>„Poskytnout metodu (mezinárodní a interoperabilní) pro automatickou identifikaci vozidla či zařízení za použití standardizovaného komunikačního rozhraní DSRC.“</w:t>
      </w:r>
    </w:p>
    <w:p>
      <w:pPr>
        <w:pStyle w:val="Textnormy"/>
        <w:rPr>
          <w:i/>
        </w:rPr>
      </w:pPr>
      <w:r>
        <w:rPr>
          <w:b/>
        </w:rPr>
        <w:t xml:space="preserve">Poslání: </w:t>
      </w:r>
      <w:r>
        <w:rPr>
          <w:i/>
        </w:rPr>
        <w:t>„Stanovit takovou funkcionalitu, environmentální a provozní parametry (specifikace systému AVI/AEI), že je možné dosáhnout vizí stanoveného cíle v prostředí otevřených systémů, umožňující interoperabilitu a zároveň umožňující koexistenci různého vybavení (zařízení).“</w:t>
      </w:r>
    </w:p>
    <w:p>
      <w:pPr>
        <w:pStyle w:val="Textnormy"/>
        <w:rPr/>
      </w:pPr>
      <w:r>
        <w:rPr/>
        <w:t xml:space="preserve">Článek dále odkazuje na architekturu stanovenou v předchozí normě (EN ISO 14815) a rozvádí do podrobnosti fyzickou architekturu, kde stručně popisuje, jak by měl probíhat proces automatické identifikace. </w:t>
      </w:r>
    </w:p>
    <w:p>
      <w:pPr>
        <w:pStyle w:val="Textnormy"/>
        <w:rPr>
          <w:b/>
        </w:rPr>
      </w:pPr>
      <w:r>
        <w:rPr>
          <w:b/>
        </w:rPr>
        <w:t>5.3-4 Specifikace systému AVI/AEI</w:t>
      </w:r>
    </w:p>
    <w:p>
      <w:pPr>
        <w:pStyle w:val="Textnormy"/>
        <w:rPr/>
      </w:pPr>
      <w:r>
        <w:rPr/>
        <w:t>Článek 5.3 popisuje „samostatné“ systémy AVI/AEI a stanovuje minimální požadavky na proces výměny dat. Tedy funkci GET a doplňkově (při zápisu dat) funkci SET či případně další funkce, zde odkazuje na normu EN ISO 14816. V článku 5.4 je zmíněna funkce systému AVI/AEI jako subsystému vyššího telematického celku, kde pouze poskytuje prostředky identifikace.</w:t>
      </w:r>
    </w:p>
    <w:p>
      <w:pPr>
        <w:pStyle w:val="Textnormy"/>
        <w:rPr>
          <w:b/>
        </w:rPr>
      </w:pPr>
      <w:r>
        <w:rPr>
          <w:b/>
        </w:rPr>
        <w:t>5.5 Provozní parametry</w:t>
      </w:r>
    </w:p>
    <w:p>
      <w:pPr>
        <w:pStyle w:val="Textnormy"/>
        <w:rPr/>
      </w:pPr>
      <w:r>
        <w:rPr/>
        <w:t>V tomto článku jsou stanoveny třídy (tabulky) jednotlivých provozních parametrů s tím, že shoda s normou může být plná pouze tehdy, pokud jsou hodnoceny všechny provozní parametry. Těmi jsou: spolehlivost, udržovatelnost, minimální počet identifikací za rok, životnost OBE a vzdálenost mezi OBE a FE (čtecím zařízením na straně infrastruktury). Ke každému z těchto parametrů, kromě spolehlivosti, jsou definovány tabulky (viz tabulka 4) a do jedné z položek musí dané zařízení spadat.</w:t>
      </w:r>
    </w:p>
    <w:p>
      <w:pPr>
        <w:pStyle w:val="NadpisTabObr"/>
        <w:rPr/>
      </w:pPr>
      <w:r>
        <w:rPr/>
        <w:t>Tabulka 4 – Vzdálenost mezi anténami OBE a FE</w:t>
      </w:r>
    </w:p>
    <w:tbl>
      <w:tblPr>
        <w:tblW w:w="49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78"/>
        <w:gridCol w:w="2942"/>
      </w:tblGrid>
      <w:tr>
        <w:trPr/>
        <w:tc>
          <w:tcPr>
            <w:tcW w:w="197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Textnormy"/>
              <w:spacing w:before="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Třída</w:t>
            </w:r>
          </w:p>
        </w:tc>
        <w:tc>
          <w:tcPr>
            <w:tcW w:w="2942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D8D8D8" w:val="clear"/>
            <w:vAlign w:val="center"/>
          </w:tcPr>
          <w:p>
            <w:pPr>
              <w:pStyle w:val="Textnormy"/>
              <w:spacing w:before="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Zkušební body vzdálenosti od čtecího zařízení</w:t>
            </w:r>
          </w:p>
        </w:tc>
      </w:tr>
      <w:tr>
        <w:trPr/>
        <w:tc>
          <w:tcPr>
            <w:tcW w:w="197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m</w:t>
            </w:r>
          </w:p>
        </w:tc>
      </w:tr>
      <w:tr>
        <w:trPr/>
        <w:tc>
          <w:tcPr>
            <w:tcW w:w="197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m</w:t>
            </w:r>
          </w:p>
        </w:tc>
      </w:tr>
      <w:tr>
        <w:trPr/>
        <w:tc>
          <w:tcPr>
            <w:tcW w:w="197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C3</w:t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m</w:t>
            </w:r>
          </w:p>
        </w:tc>
      </w:tr>
      <w:tr>
        <w:trPr/>
        <w:tc>
          <w:tcPr>
            <w:tcW w:w="197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m</w:t>
            </w:r>
          </w:p>
        </w:tc>
      </w:tr>
      <w:tr>
        <w:trPr/>
        <w:tc>
          <w:tcPr>
            <w:tcW w:w="197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C5</w:t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m</w:t>
            </w:r>
          </w:p>
        </w:tc>
      </w:tr>
      <w:tr>
        <w:trPr/>
        <w:tc>
          <w:tcPr>
            <w:tcW w:w="1978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C6</w:t>
            </w:r>
          </w:p>
        </w:tc>
        <w:tc>
          <w:tcPr>
            <w:tcW w:w="2942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0,5 m</w:t>
            </w:r>
          </w:p>
        </w:tc>
      </w:tr>
    </w:tbl>
    <w:p>
      <w:pPr>
        <w:pStyle w:val="Textnormy"/>
        <w:rPr/>
      </w:pPr>
      <w:r>
        <w:rPr/>
      </w:r>
    </w:p>
    <w:p>
      <w:pPr>
        <w:pStyle w:val="Textnormy"/>
        <w:rPr/>
      </w:pPr>
      <w:r>
        <w:rPr/>
        <w:t>Dále jsou zde stanoveny požadavky na instalaci OBE, elektromagnetické rušení a emise. Poslední položky mají třídy stanoveny vně této normy v doporučeních IEC. Mezi další zvláštní provozní parametry, které jsou stanoveny, dále patří maximální počet antén OBE na krychlový metr, minimální vzdálenost mezi anténami OBE a rychlost průchodu čtecí zónou (viz tabulka 7).</w:t>
      </w:r>
    </w:p>
    <w:p>
      <w:pPr>
        <w:pStyle w:val="NadpisTabObr"/>
        <w:rPr/>
      </w:pPr>
      <w:r>
        <w:rPr/>
        <w:t>Tabulka 7 – Rychlost průchodu čtecí zónou</w:t>
      </w:r>
    </w:p>
    <w:tbl>
      <w:tblPr>
        <w:tblW w:w="6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3"/>
        <w:gridCol w:w="2325"/>
        <w:gridCol w:w="2326"/>
      </w:tblGrid>
      <w:tr>
        <w:trPr/>
        <w:tc>
          <w:tcPr>
            <w:tcW w:w="170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Textnormy"/>
              <w:spacing w:before="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Třída</w:t>
            </w:r>
          </w:p>
        </w:tc>
        <w:tc>
          <w:tcPr>
            <w:tcW w:w="4651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D8D8D8" w:val="clear"/>
            <w:vAlign w:val="center"/>
          </w:tcPr>
          <w:p>
            <w:pPr>
              <w:pStyle w:val="Textnormy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Zkušební body rychlosti</w:t>
            </w:r>
          </w:p>
          <w:p>
            <w:pPr>
              <w:pStyle w:val="Textnormy"/>
              <w:spacing w:before="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Km/h</w:t>
              <w:tab/>
              <w:tab/>
              <w:tab/>
              <w:t>m/s</w:t>
            </w:r>
          </w:p>
        </w:tc>
      </w:tr>
      <w:tr>
        <w:trPr/>
        <w:tc>
          <w:tcPr>
            <w:tcW w:w="170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240</w:t>
            </w:r>
          </w:p>
        </w:tc>
        <w:tc>
          <w:tcPr>
            <w:tcW w:w="2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</w:t>
            </w:r>
          </w:p>
        </w:tc>
      </w:tr>
      <w:tr>
        <w:trPr/>
        <w:tc>
          <w:tcPr>
            <w:tcW w:w="170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2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</w:tr>
      <w:tr>
        <w:trPr/>
        <w:tc>
          <w:tcPr>
            <w:tcW w:w="170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F3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2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</w:tr>
      <w:tr>
        <w:trPr/>
        <w:tc>
          <w:tcPr>
            <w:tcW w:w="170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F4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2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</w:tr>
      <w:tr>
        <w:trPr/>
        <w:tc>
          <w:tcPr>
            <w:tcW w:w="170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F5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>
        <w:trPr/>
        <w:tc>
          <w:tcPr>
            <w:tcW w:w="170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F6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2,5</w:t>
            </w:r>
          </w:p>
        </w:tc>
      </w:tr>
      <w:tr>
        <w:trPr/>
        <w:tc>
          <w:tcPr>
            <w:tcW w:w="1703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F7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3,6</w:t>
            </w:r>
          </w:p>
        </w:tc>
        <w:tc>
          <w:tcPr>
            <w:tcW w:w="232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extnormy"/>
              <w:spacing w:before="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>
      <w:pPr>
        <w:pStyle w:val="Textnormy"/>
        <w:rPr/>
      </w:pPr>
      <w:r>
        <w:rPr/>
      </w:r>
    </w:p>
    <w:p>
      <w:pPr>
        <w:pStyle w:val="Textnormy"/>
        <w:rPr/>
      </w:pPr>
      <w:r>
        <w:rPr/>
        <w:t xml:space="preserve">Požadavky na </w:t>
      </w:r>
      <w:r>
        <w:rPr>
          <w:lang w:bidi="zxx"/>
        </w:rPr>
        <w:t>strukturu</w:t>
      </w:r>
      <w:r>
        <w:rPr/>
        <w:t xml:space="preserve"> dat (čl. 5.6), soukromí (čl. 5.7) a zabezpečení informací (čl. 5.8) jsou vyřešeny odkazem na normu EN ISO 14816. Článek 5.9 řeší environmentální parametry OBE a FE odkazem na doporučení IEC 721-3-4, respektive 721-3-5. Poslední článek v této kapitole zmiňuje otázku zabezpečení, s poukázáním na přílohu D.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6 Zkoušky požadavků </w:t>
      </w:r>
    </w:p>
    <w:p>
      <w:pPr>
        <w:pStyle w:val="Textnormy"/>
        <w:rPr/>
      </w:pPr>
      <w:r>
        <w:rPr/>
        <w:t>V této kapitole jsou uvedené zkoušky, kterými musí systém AVI/AEI projít, aby mohly být jeho parametry rozřazeny do funkčních tříd. Mezi provozní parametry, které musí výrobce zkoušet, patří spolehlivost, chybovost, poruchovost (MTBF), dostupnost, životnost OBE a FE, udržovatelnost, počet identifikací za rok, vzdálenost mezi OBE a FE, vzdálenost mezi anténami OBE a rychlost průchodu čtecí zónou.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A (informativní) Kategorie systémů AVI/AEI</w:t>
      </w:r>
    </w:p>
    <w:p>
      <w:pPr>
        <w:pStyle w:val="Textnormy"/>
        <w:rPr/>
      </w:pPr>
      <w:r>
        <w:rPr/>
        <w:t xml:space="preserve">Příloha A stanovuje pro jednotlivé množiny tříd provozních parametrů tzv. kategorie, a to tak, aby mohl výrobce či zadavatel popsat požadavky, které má na systém, pomocí jedné kategorie a ne soustavy čísel a znaků. Kategorie systému jsou následující: zodolněný (a), standardní (b), s vybranými třídami environmentálních parametrů (c), s vybranými třídami provozních parametrů (d), s vybranými třídami environmentálních i provozních parametrů (e) a ne-interoperabilní s vybranými třídami environmentálních i provozních parametrů (f). Kategorie c,d,e zaručují interoperabilitu v limitovaném rozsahu tříd provozních či environmentálních parametrů. Kategorie f nezaručuje plnou nominální interoperabilitu, je pouze schopna provozu v určitých provozních a environmentálních podmínkách. </w:t>
      </w:r>
    </w:p>
    <w:p>
      <w:pPr>
        <w:pStyle w:val="Textnormy"/>
        <w:rPr/>
      </w:pPr>
      <w:r>
        <w:rPr/>
        <w:t>Podle požadavků na systém (viz  tabulka A.3), například při požadavcích na rychlost průjezdu 150 km/h (F2), vzdálenost čtení 8m (C2), životnost OBE 10 let (B2), 10000 čtecích cyklů ročně (A2) a environmentálními požadavky třídy I2 si uživatel vybere „kategorii b“.</w:t>
      </w:r>
    </w:p>
    <w:p>
      <w:pPr>
        <w:pStyle w:val="NadpisTabObr"/>
        <w:rPr/>
      </w:pPr>
      <w:r>
        <w:rPr/>
        <w:t>Tabulka A.3 – Rozdělení systémů do kategorií podle tříd jednotlivých parametrů, které splňují</w:t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20"/>
        <w:gridCol w:w="484"/>
        <w:gridCol w:w="1147"/>
        <w:gridCol w:w="1147"/>
        <w:gridCol w:w="1148"/>
        <w:gridCol w:w="1147"/>
        <w:gridCol w:w="1147"/>
        <w:gridCol w:w="1148"/>
      </w:tblGrid>
      <w:tr>
        <w:trPr/>
        <w:tc>
          <w:tcPr>
            <w:tcW w:w="24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Texttabulky"/>
              <w:spacing w:before="60" w:after="60"/>
              <w:rPr/>
            </w:pPr>
            <w:r>
              <w:rPr/>
              <w:t>Kategorie a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Texttabulky"/>
              <w:spacing w:before="60" w:after="60"/>
              <w:rPr/>
            </w:pPr>
            <w:r>
              <w:rPr/>
              <w:t>Kategorie b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Texttabulky"/>
              <w:spacing w:before="60" w:after="60"/>
              <w:rPr/>
            </w:pPr>
            <w:r>
              <w:rPr/>
              <w:t>Kategorie c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Texttabulky"/>
              <w:spacing w:before="60" w:after="60"/>
              <w:rPr/>
            </w:pPr>
            <w:r>
              <w:rPr/>
              <w:t>Kategorie d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Texttabulky"/>
              <w:spacing w:before="60" w:after="60"/>
              <w:rPr/>
            </w:pPr>
            <w:r>
              <w:rPr/>
              <w:t>Kategorie e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Texttabulky"/>
              <w:spacing w:before="60" w:after="60"/>
              <w:rPr/>
            </w:pPr>
            <w:r>
              <w:rPr/>
              <w:t>Kategorie f</w:t>
            </w:r>
          </w:p>
        </w:tc>
      </w:tr>
      <w:tr>
        <w:trPr/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 xml:space="preserve">Identifikace za rok </w:t>
            </w:r>
          </w:p>
        </w:tc>
        <w:tc>
          <w:tcPr>
            <w:tcW w:w="4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(A)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 xml:space="preserve">Životnost </w:t>
            </w:r>
          </w:p>
        </w:tc>
        <w:tc>
          <w:tcPr>
            <w:tcW w:w="4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(B)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 xml:space="preserve">Čtecí vzdálenost </w:t>
            </w:r>
          </w:p>
        </w:tc>
        <w:tc>
          <w:tcPr>
            <w:tcW w:w="4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(C)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 xml:space="preserve">Rychlost </w:t>
            </w:r>
          </w:p>
        </w:tc>
        <w:tc>
          <w:tcPr>
            <w:tcW w:w="4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(F)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</w:tr>
      <w:tr>
        <w:trPr/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 xml:space="preserve">Environmentální požadavky </w:t>
            </w:r>
          </w:p>
        </w:tc>
        <w:tc>
          <w:tcPr>
            <w:tcW w:w="48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(H)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</w:tr>
    </w:tbl>
    <w:p>
      <w:pPr>
        <w:pStyle w:val="Textnormy"/>
        <w:rPr/>
      </w:pPr>
      <w:r>
        <w:rPr/>
      </w:r>
    </w:p>
    <w:p>
      <w:pPr>
        <w:pStyle w:val="Textnormy"/>
        <w:rPr/>
      </w:pPr>
      <w:r>
        <w:rPr/>
        <w:t>V příloze jsou uvedeny čtyři ilustrativní příklady, které výstižně popisují praktické situace při určování možné kategorie, do které systém AVI/AEI spadá.</w:t>
      </w:r>
    </w:p>
    <w:p>
      <w:pPr>
        <w:pStyle w:val="Textnormy"/>
        <w:rPr/>
      </w:pPr>
      <w:r>
        <w:rPr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B (informativní) Environmentálních požadavky určené ke zkoušení</w:t>
      </w:r>
    </w:p>
    <w:p>
      <w:pPr>
        <w:pStyle w:val="Textnormy"/>
        <w:rPr/>
      </w:pPr>
      <w:r>
        <w:rPr/>
        <w:t>Důvodem klasifikace dle environmentálních požadavků je zajištění provozuschopnosti za různých přírodních podmínek. V této příloze jsou uvedeny výtahy z jednotlivých doporučení IEC pro zkoušení následujících environmentálních parametrů: odolnost vůči slunečnímu záření, nízké teplotě, horku, rychlé změně teploty vzduchu, pomalé změně teploty vzduchu, rychlé změně teploty vzduch/voda, nárazu a nestacionárním vibracím či šoku, sinusovým stacionárním vibracím, náhodným stacionárním vibracím, nízkému tlaku vzduchu, vlhkému a horkému cyklu, pomalému vlhkému a horkému cyklu, nízké relativní vlhkosti, prachu a písku, vniku vody a elektromagnetickým výbojům či impulsům. Všechny tyto zkoušky jsou součástí již schválených mezinárodních norem či doporučení.</w:t>
      </w:r>
    </w:p>
    <w:p>
      <w:pPr>
        <w:pStyle w:val="Textnormy"/>
        <w:rPr/>
      </w:pPr>
      <w:r>
        <w:rPr/>
        <w:t>Ukázka metodiky zkoušení z přílohy B:</w:t>
      </w:r>
    </w:p>
    <w:p>
      <w:pPr>
        <w:pStyle w:val="Textnormy"/>
        <w:rPr/>
      </w:pPr>
      <w:r>
        <w:rPr/>
        <w:drawing>
          <wp:inline distT="0" distB="0" distL="0" distR="0">
            <wp:extent cx="5760085" cy="189738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14" r="-4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89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/>
      </w:pPr>
      <w:r>
        <w:rPr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C (informativní) Certifikace a shoda</w:t>
      </w:r>
    </w:p>
    <w:p>
      <w:pPr>
        <w:pStyle w:val="Textnormy"/>
        <w:rPr/>
      </w:pPr>
      <w:r>
        <w:rPr/>
        <w:t xml:space="preserve">Tato příloha stanovuje postup certifikace zařízení AVI/AEI a způsob získání certifikátu shody. Tento certifikát vydává pouze národní akreditovaná zkušební laboratoř po úspěšném provedení všech potřebných zkoušek s poskytnutým zařízením. Je zde stanoveno, jaké parametry podléhají certifikačním zkouškám a jak má vypadat certifikát. Nicméně zde není stanoven způsob podávání přihlášek k certifikaci a ani to, kdo by mohl na národní úrovni touto pověřenou zkušební laboratoří být či kdo by měl tyto zkoušky platit.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D (informativní) Bezpečnost</w:t>
      </w:r>
    </w:p>
    <w:p>
      <w:pPr>
        <w:pStyle w:val="Textnormy"/>
        <w:rPr/>
      </w:pPr>
      <w:r>
        <w:rPr/>
        <w:t xml:space="preserve">V této příloze je uveden minimální výčet bezpečnostních a ochranných prvků, které by měl mít výrobce či provozovatel systému na zřeteli. Jsou to prvky mechanické, elektrické, vizuální a kontrolní (řídicí – např. tlačítka).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E (informativní) Označování zařízení AVI/AEI štítkem</w:t>
      </w:r>
    </w:p>
    <w:p>
      <w:pPr>
        <w:pStyle w:val="Textnormy"/>
        <w:spacing w:before="0" w:after="120"/>
        <w:rPr/>
      </w:pPr>
      <w:r>
        <w:rPr/>
        <w:t>Tato příloha stanovuje obsah informačního štítku, který musí být umístěn vně OBE či FE.</w:t>
      </w:r>
    </w:p>
    <w:sectPr>
      <w:footerReference w:type="default" r:id="rId3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Cambria">
    <w:altName w:val="Palatino Linotype"/>
    <w:charset w:val="ee" w:characterSet="windows-125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Cambria;Palatino Linotype" w:hAnsi="Cambria;Palatino Linotype"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2z0">
    <w:name w:val="WW8Num2z0"/>
    <w:qFormat/>
    <w:rPr>
      <w:rFonts w:ascii="Wingdings" w:hAnsi="Wingdings" w:cs="StarSymbol;Arial Unicode MS"/>
      <w:sz w:val="18"/>
      <w:szCs w:val="18"/>
    </w:rPr>
  </w:style>
  <w:style w:type="character" w:styleId="WW8Num2z1">
    <w:name w:val="WW8Num2z1"/>
    <w:qFormat/>
    <w:rPr>
      <w:rFonts w:ascii="Wingdings 2" w:hAnsi="Wingdings 2" w:cs="StarSymbol;Arial Unicode MS"/>
      <w:sz w:val="18"/>
      <w:szCs w:val="18"/>
    </w:rPr>
  </w:style>
  <w:style w:type="character" w:styleId="WW8Num2z2">
    <w:name w:val="WW8Num2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3z0">
    <w:name w:val="WW8Num3z0"/>
    <w:qFormat/>
    <w:rPr>
      <w:rFonts w:ascii="Wingdings" w:hAnsi="Wingdings" w:cs="StarSymbol;Arial Unicode MS"/>
      <w:sz w:val="18"/>
      <w:szCs w:val="18"/>
    </w:rPr>
  </w:style>
  <w:style w:type="character" w:styleId="WW8Num3z1">
    <w:name w:val="WW8Num3z1"/>
    <w:qFormat/>
    <w:rPr>
      <w:rFonts w:ascii="Wingdings 2" w:hAnsi="Wingdings 2" w:cs="StarSymbol;Arial Unicode MS"/>
      <w:sz w:val="18"/>
      <w:szCs w:val="18"/>
    </w:rPr>
  </w:style>
  <w:style w:type="character" w:styleId="WW8Num3z2">
    <w:name w:val="WW8Num3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4z0">
    <w:name w:val="WW8Num4z0"/>
    <w:qFormat/>
    <w:rPr>
      <w:rFonts w:ascii="Wingdings" w:hAnsi="Wingdings" w:cs="StarSymbol;Arial Unicode MS"/>
      <w:sz w:val="18"/>
      <w:szCs w:val="18"/>
    </w:rPr>
  </w:style>
  <w:style w:type="character" w:styleId="WW8Num4z1">
    <w:name w:val="WW8Num4z1"/>
    <w:qFormat/>
    <w:rPr>
      <w:rFonts w:ascii="Wingdings 2" w:hAnsi="Wingdings 2" w:cs="StarSymbol;Arial Unicode MS"/>
      <w:sz w:val="18"/>
      <w:szCs w:val="18"/>
    </w:rPr>
  </w:style>
  <w:style w:type="character" w:styleId="WW8Num4z2">
    <w:name w:val="WW8Num4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5z0">
    <w:name w:val="WW8Num5z0"/>
    <w:qFormat/>
    <w:rPr>
      <w:rFonts w:ascii="Arial" w:hAnsi="Arial" w:cs="Arial"/>
      <w:sz w:val="18"/>
      <w:szCs w:val="18"/>
    </w:rPr>
  </w:style>
  <w:style w:type="character" w:styleId="WW8Num5z1">
    <w:name w:val="WW8Num5z1"/>
    <w:qFormat/>
    <w:rPr>
      <w:rFonts w:ascii="Wingdings 2" w:hAnsi="Wingdings 2" w:cs="StarSymbol;Arial Unicode MS"/>
      <w:sz w:val="18"/>
      <w:szCs w:val="18"/>
    </w:rPr>
  </w:style>
  <w:style w:type="character" w:styleId="WW8Num5z2">
    <w:name w:val="WW8Num5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5z3">
    <w:name w:val="WW8Num5z3"/>
    <w:qFormat/>
    <w:rPr>
      <w:rFonts w:ascii="Wingdings" w:hAnsi="Wingdings" w:cs="StarSymbol;Arial Unicode MS"/>
      <w:sz w:val="18"/>
      <w:szCs w:val="18"/>
    </w:rPr>
  </w:style>
  <w:style w:type="character" w:styleId="WW8Num6z0">
    <w:name w:val="WW8Num6z0"/>
    <w:qFormat/>
    <w:rPr>
      <w:rFonts w:ascii="Arial" w:hAnsi="Arial" w:cs="Arial"/>
      <w:sz w:val="18"/>
      <w:szCs w:val="18"/>
    </w:rPr>
  </w:style>
  <w:style w:type="character" w:styleId="WW8Num6z1">
    <w:name w:val="WW8Num6z1"/>
    <w:qFormat/>
    <w:rPr>
      <w:rFonts w:ascii="Wingdings 2" w:hAnsi="Wingdings 2" w:cs="StarSymbol;Arial Unicode MS"/>
      <w:sz w:val="18"/>
      <w:szCs w:val="18"/>
    </w:rPr>
  </w:style>
  <w:style w:type="character" w:styleId="WW8Num6z2">
    <w:name w:val="WW8Num6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6z3">
    <w:name w:val="WW8Num6z3"/>
    <w:qFormat/>
    <w:rPr>
      <w:rFonts w:ascii="Wingdings" w:hAnsi="Wingdings" w:cs="StarSymbol;Arial Unicode MS"/>
      <w:sz w:val="18"/>
      <w:szCs w:val="18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basedOn w:val="Standardnpsmoodstavce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Nadpis2Char">
    <w:name w:val="Nadpis 2 Char"/>
    <w:basedOn w:val="Standardnpsmoodstavce"/>
    <w:qFormat/>
    <w:rPr>
      <w:rFonts w:ascii="Cambria;Palatino Linotype" w:hAnsi="Cambria;Palatino Linotype" w:eastAsia="Times New Roman" w:cs="Times New Roman"/>
      <w:b/>
      <w:bCs/>
      <w:i/>
      <w:iCs/>
      <w:sz w:val="28"/>
      <w:szCs w:val="28"/>
    </w:rPr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itulek">
    <w:name w:val="Titulek"/>
    <w:basedOn w:val="Normal"/>
    <w:next w:val="Normal"/>
    <w:qFormat/>
    <w:pPr>
      <w:widowControl w:val="false"/>
      <w:suppressAutoHyphens w:val="true"/>
      <w:spacing w:before="113" w:after="113"/>
      <w:jc w:val="both"/>
    </w:pPr>
    <w:rPr>
      <w:rFonts w:ascii="Times New Roman" w:hAnsi="Times New Roman" w:eastAsia="Lucida Sans Unicode" w:cs="Times New Roman"/>
      <w:b/>
      <w:bCs/>
      <w:kern w:val="2"/>
    </w:rPr>
  </w:style>
  <w:style w:type="paragraph" w:styleId="Textkomente">
    <w:name w:val="Text komentáře"/>
    <w:basedOn w:val="Normal"/>
    <w:qFormat/>
    <w:pPr/>
    <w:rPr/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7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2008-11-14T11:30:00Z</dcterms:created>
  <dc:creator>David Bárta</dc:creator>
  <dc:description/>
  <cp:keywords/>
  <dc:language>en-US</dc:language>
  <cp:lastModifiedBy>David Bárta</cp:lastModifiedBy>
  <cp:lastPrinted>2008-08-26T00:25:00Z</cp:lastPrinted>
  <dcterms:modified xsi:type="dcterms:W3CDTF">2008-11-14T11:30:00Z</dcterms:modified>
  <cp:revision>2</cp:revision>
  <dc:subject/>
  <dc:title>ČESKÁ TECHNICKÁ NORMA</dc:title>
</cp:coreProperties>
</file>