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EXTRAKT z české technické normy</w:t>
      </w:r>
    </w:p>
    <w:p>
      <w:pPr>
        <w:pStyle w:val="Textnormy"/>
        <w:rPr>
          <w:b/>
        </w:rPr>
      </w:pPr>
      <w:r>
        <w:rPr>
          <w:b/>
        </w:rPr>
        <w:t>Extrakt nenahrazuje samotnou technickou normu, je pouze informativním materiálem o normě.</w:t>
      </w:r>
    </w:p>
    <w:p>
      <w:pPr>
        <w:pStyle w:val="1Str1Rad"/>
        <w:tabs>
          <w:tab w:val="clear" w:pos="7371"/>
          <w:tab w:val="clear" w:pos="9866"/>
          <w:tab w:val="left" w:pos="7080" w:leader="none"/>
          <w:tab w:val="right" w:pos="9923" w:leader="none"/>
        </w:tabs>
        <w:spacing w:before="0" w:after="60"/>
        <w:rPr>
          <w:b/>
          <w:sz w:val="40"/>
          <w:szCs w:val="40"/>
        </w:rPr>
      </w:pPr>
      <w:r>
        <w:rPr>
          <w:b/>
          <w:sz w:val="40"/>
          <w:szCs w:val="40"/>
        </w:rPr>
        <w:t>ICS 03.220.20, 35.240.60</w:t>
        <w:tab/>
      </w:r>
    </w:p>
    <w:tbl>
      <w:tblPr>
        <w:tblW w:w="9923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371"/>
        <w:gridCol w:w="2552"/>
      </w:tblGrid>
      <w:tr>
        <w:trPr>
          <w:trHeight w:val="1701" w:hRule="atLeast"/>
          <w:cantSplit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/>
            </w:pPr>
            <w:r>
              <w:rPr/>
              <w:t>Dopravní telematika – Automatická identifikace vozidel, zařízení a nákladů – Identifikace elektronické registrace (ERI) vozidel – Část 1: Architektura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>
            <w:pPr>
              <w:pStyle w:val="1StrCN"/>
              <w:spacing w:before="180" w:after="0"/>
              <w:rPr>
                <w:b w:val="false"/>
                <w:sz w:val="28"/>
              </w:rPr>
            </w:pPr>
            <w:r>
              <w:rPr/>
              <w:t>ČSN</w:t>
              <w:br/>
              <w:t>EN ISO 24534-1</w:t>
              <w:br/>
            </w:r>
          </w:p>
          <w:p>
            <w:pPr>
              <w:pStyle w:val="1StrTrZn"/>
              <w:spacing w:before="80" w:after="80"/>
              <w:rPr/>
            </w:pPr>
            <w:r>
              <w:rPr/>
              <w:t>01 8338</w:t>
            </w:r>
          </w:p>
        </w:tc>
      </w:tr>
    </w:tbl>
    <w:p>
      <w:pPr>
        <w:pStyle w:val="Shodnost"/>
        <w:tabs>
          <w:tab w:val="left" w:pos="7920" w:leader="none"/>
        </w:tabs>
        <w:rPr/>
      </w:pPr>
      <w:r>
        <w:rPr/>
        <w:t>Platí od 15. 12. 2008</w:t>
        <w:tab/>
        <w:t>18 stran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Úvod</w:t>
      </w:r>
    </w:p>
    <w:p>
      <w:pPr>
        <w:pStyle w:val="Textnormy"/>
        <w:rPr/>
      </w:pPr>
      <w:r>
        <w:rPr/>
        <w:t xml:space="preserve">Tato norma, která popisuje koncept systému ERI, je úvodní normou série 5 norem z oblasti Identifikace elektronické registrace (ERI) vozidel. </w:t>
      </w:r>
    </w:p>
    <w:p>
      <w:pPr>
        <w:pStyle w:val="Textnormy"/>
        <w:rPr/>
      </w:pPr>
      <w:r>
        <w:rPr/>
        <w:t>Vlády zvažují povinné požívání ERI, zejména jako právního důkazu identity vozidla; daná norma umožňuje interoperabilní řešení. ERI je prostředkem pro jednoznačnou identifikaci silničních vozidel. Splňuje potřebu správních orgánů a jiných uživatelů PK důvěryhodné elektronické identifikace, a to včetně zahraničních/projíždějících vozidel.</w:t>
      </w:r>
    </w:p>
    <w:p>
      <w:pPr>
        <w:pStyle w:val="Textnormy"/>
        <w:rPr/>
      </w:pPr>
      <w:r>
        <w:rPr/>
        <w:t xml:space="preserve">Jednoznačný identifikátor vozidla (upřednostňovaný je VIN) je uchováván v tagu elektronické registrace (ERT). ERT může navíc obsahovat dodatečná data. ERT komunikuje s ERR a volitelně s jinými palubními zařízeními vozidla. </w:t>
      </w:r>
    </w:p>
    <w:p>
      <w:pPr>
        <w:pStyle w:val="Textnormy"/>
        <w:rPr/>
      </w:pPr>
      <w:r>
        <w:rPr/>
        <w:t xml:space="preserve">Poznámka: Extrakt uvádí vybrané kapitoly popisovaného dokumentu a přejímá původní číslování kapitol.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Užití</w:t>
      </w:r>
    </w:p>
    <w:p>
      <w:pPr>
        <w:pStyle w:val="Textnormy"/>
        <w:rPr>
          <w:spacing w:val="-2"/>
        </w:rPr>
      </w:pPr>
      <w:r>
        <w:rPr>
          <w:spacing w:val="-2"/>
        </w:rPr>
        <w:t>Tato norma vznikla „rozpadem“ normy 24534 na 5 samostatných dokumentů. Díky tomu vznikla potřeba, alespoň částečně, seznámit případného čtenáře s tím, co vlastně ERI je, a jakých může nabývat funkcionalit. Obsahuje odkazy na další normy tohoto souboru a přehledná schémata a příklady použití.</w:t>
      </w:r>
    </w:p>
    <w:p>
      <w:pPr>
        <w:pStyle w:val="Textnormy"/>
        <w:rPr/>
      </w:pPr>
      <w:r>
        <w:rPr/>
        <w:t>Jak pro</w:t>
      </w:r>
      <w:r>
        <w:rPr>
          <w:b/>
        </w:rPr>
        <w:t xml:space="preserve"> orgány státní správy</w:t>
      </w:r>
      <w:r>
        <w:rPr/>
        <w:t>,</w:t>
      </w:r>
      <w:r>
        <w:rPr>
          <w:b/>
        </w:rPr>
        <w:t xml:space="preserve"> </w:t>
      </w:r>
      <w:r>
        <w:rPr/>
        <w:t xml:space="preserve">tak i pro </w:t>
      </w:r>
      <w:r>
        <w:rPr>
          <w:b/>
        </w:rPr>
        <w:t>výrobce zařízení a dodavatele telematických systémů</w:t>
      </w:r>
      <w:r>
        <w:rPr/>
        <w:t xml:space="preserve"> uvádí tato norma základní přehled a usnadňuje orientaci v souboru norem. Pro zadávání státních zakázek a tvorbu či správu systému ERI </w:t>
      </w:r>
      <w:r>
        <w:rPr>
          <w:b/>
        </w:rPr>
        <w:t>není tato norma nezbytná</w:t>
      </w:r>
      <w:r>
        <w:rPr/>
        <w:t xml:space="preserve">. Do soustavy ČSN byla převzata překladem.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1 Předmět normy</w:t>
      </w:r>
    </w:p>
    <w:p>
      <w:pPr>
        <w:pStyle w:val="Textnormy"/>
        <w:rPr/>
      </w:pPr>
      <w:r>
        <w:rPr/>
        <w:t xml:space="preserve">Tato mezinárodní norma poskytuje </w:t>
      </w:r>
      <w:r>
        <w:rPr>
          <w:b/>
        </w:rPr>
        <w:t>přehled</w:t>
      </w:r>
      <w:r>
        <w:rPr/>
        <w:t xml:space="preserve"> konceptu systému ERI, z hlediska komponent palubního zařízení vozidla a externích komponent mimo vozidlo požadovaných pro provoz systému. Podrobné požadavky jsou definovány v částech 2, 3, 4 a 5 souboru ISO 24534 a pro limitované řešení platí relevantní ustanovení ISO 24535. Systém identifikace elektronické registrace je vhodný pro: 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22" w:leader="none"/>
          <w:tab w:val="left" w:pos="593" w:leader="none"/>
          <w:tab w:val="left" w:pos="831" w:leader="none"/>
        </w:tabs>
        <w:ind w:hanging="360" w:start="593" w:end="0"/>
        <w:jc w:val="both"/>
        <w:rPr>
          <w:rFonts w:cs="Arial"/>
          <w:lang w:bidi="zxx"/>
        </w:rPr>
      </w:pPr>
      <w:r>
        <w:rPr>
          <w:rFonts w:cs="Arial"/>
          <w:lang w:bidi="zxx"/>
        </w:rPr>
        <w:t>elektronickou identifikaci místních a zahraničních vozidel státními správními orgány;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22" w:leader="none"/>
          <w:tab w:val="left" w:pos="593" w:leader="none"/>
          <w:tab w:val="left" w:pos="831" w:leader="none"/>
        </w:tabs>
        <w:ind w:hanging="360" w:start="593" w:end="0"/>
        <w:jc w:val="both"/>
        <w:rPr>
          <w:rFonts w:cs="Arial"/>
          <w:lang w:bidi="zxx"/>
        </w:rPr>
      </w:pPr>
      <w:r>
        <w:rPr>
          <w:rFonts w:cs="Arial"/>
          <w:lang w:bidi="zxx"/>
        </w:rPr>
        <w:t>výrobu vozidla, údržbu vozidla v době životnosti a identifikaci konce životnosti;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22" w:leader="none"/>
          <w:tab w:val="left" w:pos="593" w:leader="none"/>
          <w:tab w:val="left" w:pos="831" w:leader="none"/>
        </w:tabs>
        <w:ind w:hanging="360" w:start="593" w:end="0"/>
        <w:jc w:val="both"/>
        <w:rPr>
          <w:rFonts w:cs="Arial"/>
          <w:lang w:bidi="zxx"/>
        </w:rPr>
      </w:pPr>
      <w:r>
        <w:rPr>
          <w:rFonts w:cs="Arial"/>
          <w:lang w:bidi="zxx"/>
        </w:rPr>
        <w:t>úpravu dat o vozidle, účely spojené s bezpečností; snížení kriminality, a komerční služby.</w:t>
      </w:r>
    </w:p>
    <w:p>
      <w:pPr>
        <w:pStyle w:val="Textnormy"/>
        <w:jc w:val="center"/>
        <w:rPr/>
      </w:pPr>
      <w:r>
        <w:rPr/>
        <w:drawing>
          <wp:inline distT="0" distB="0" distL="0" distR="0">
            <wp:extent cx="4486275" cy="484822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obrázek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484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adpisTabObr"/>
        <w:rPr/>
      </w:pPr>
      <w:r>
        <w:rPr/>
        <w:t>Obrázek 1 – Funkcionalita ERI a její rozdělení do norem série 24534 (a 24535).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 Souvisící normy</w:t>
      </w:r>
    </w:p>
    <w:p>
      <w:pPr>
        <w:pStyle w:val="Textnormy"/>
        <w:rPr/>
      </w:pPr>
      <w:r>
        <w:rPr/>
        <w:t>Různé části ISO 24534 obsahují celkový rámec pro ERI a specifikace požadavků pro „plně vybavenou“ ERI, jsou to tyto normy:</w:t>
      </w:r>
    </w:p>
    <w:p>
      <w:pPr>
        <w:pStyle w:val="Textnormy"/>
        <w:numPr>
          <w:ilvl w:val="0"/>
          <w:numId w:val="4"/>
        </w:numPr>
        <w:rPr/>
      </w:pPr>
      <w:r>
        <w:rPr>
          <w:rFonts w:cs="Arial"/>
        </w:rPr>
        <w:t xml:space="preserve">Část 2: Provozní požadavky; </w:t>
      </w:r>
    </w:p>
    <w:p>
      <w:pPr>
        <w:pStyle w:val="Textnormy"/>
        <w:numPr>
          <w:ilvl w:val="0"/>
          <w:numId w:val="4"/>
        </w:numPr>
        <w:rPr/>
      </w:pPr>
      <w:r>
        <w:rPr>
          <w:rFonts w:cs="Arial"/>
        </w:rPr>
        <w:t xml:space="preserve">Část 3: Data o vozidle; </w:t>
      </w:r>
    </w:p>
    <w:p>
      <w:pPr>
        <w:pStyle w:val="Textnormy"/>
        <w:numPr>
          <w:ilvl w:val="0"/>
          <w:numId w:val="4"/>
        </w:numPr>
        <w:rPr/>
      </w:pPr>
      <w:r>
        <w:rPr>
          <w:rFonts w:cs="Arial"/>
        </w:rPr>
        <w:t xml:space="preserve">Část 4: </w:t>
      </w:r>
      <w:r>
        <w:rPr/>
        <w:t xml:space="preserve">Zabezpečení aplikační vrstvy použitím asymetrického šifrování; </w:t>
      </w:r>
    </w:p>
    <w:p>
      <w:pPr>
        <w:pStyle w:val="Textnormy"/>
        <w:numPr>
          <w:ilvl w:val="0"/>
          <w:numId w:val="4"/>
        </w:numPr>
        <w:rPr/>
      </w:pPr>
      <w:r>
        <w:rPr>
          <w:rFonts w:cs="Arial"/>
        </w:rPr>
        <w:t xml:space="preserve">Část 5: </w:t>
      </w:r>
      <w:r>
        <w:rPr/>
        <w:t>Zabezpečení aplikační vrstvy použitím</w:t>
      </w:r>
      <w:r>
        <w:rPr>
          <w:rFonts w:cs="Arial"/>
        </w:rPr>
        <w:t xml:space="preserve"> symetrického šifrování.</w:t>
      </w:r>
      <w:r>
        <w:rPr/>
        <w:t xml:space="preserve"/>
      </w:r>
    </w:p>
    <w:p>
      <w:pPr>
        <w:pStyle w:val="Textnormy"/>
        <w:rPr/>
      </w:pPr>
      <w:r>
        <w:rPr/>
        <w:t xml:space="preserve">Přidružená mezinárodní norma k tomuto souboru norem ERI, ISO 24535, obsahuje podskupinu těchto požadavků, zajišťující funkčnost „základní ERI”.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3 Termíny a definice</w:t>
      </w:r>
    </w:p>
    <w:p>
      <w:pPr>
        <w:pStyle w:val="Textnormy"/>
        <w:spacing w:before="120" w:after="120"/>
        <w:rPr/>
      </w:pPr>
      <w:r>
        <w:rPr>
          <w:b/>
        </w:rPr>
        <w:t xml:space="preserve">3.1 elektronická identifikace registrace </w:t>
      </w:r>
      <w:r>
        <w:rPr>
          <w:i/>
        </w:rPr>
        <w:t xml:space="preserve">(electronic registration identification ERI) </w:t>
      </w:r>
      <w:r>
        <w:rPr/>
        <w:t>činnost nebo kroky vedoucí k identifikaci vozidla elektronickými prostředky za účely specifikovanými v této normě</w:t>
      </w:r>
    </w:p>
    <w:p>
      <w:pPr>
        <w:pStyle w:val="Textnormy"/>
        <w:spacing w:before="120" w:after="120"/>
        <w:rPr/>
      </w:pPr>
      <w:r>
        <w:rPr>
          <w:b/>
        </w:rPr>
        <w:t xml:space="preserve">3.2 čtecí zařízení (čtečka) elektronické registrace </w:t>
      </w:r>
      <w:r>
        <w:rPr>
          <w:i/>
        </w:rPr>
        <w:t xml:space="preserve">(electronic registration reader ERR) </w:t>
      </w:r>
      <w:r>
        <w:rPr/>
        <w:t>zařízení používané pro čtení/zápis dat z nebo do „tagu elektronické registrace“ ERT</w:t>
      </w:r>
    </w:p>
    <w:p>
      <w:pPr>
        <w:pStyle w:val="Textnormy"/>
        <w:spacing w:before="120" w:after="120"/>
        <w:rPr/>
      </w:pPr>
      <w:r>
        <w:rPr>
          <w:b/>
        </w:rPr>
        <w:t xml:space="preserve">3.3 tag elektronické registrace </w:t>
      </w:r>
      <w:r>
        <w:rPr>
          <w:i/>
        </w:rPr>
        <w:t xml:space="preserve">(electronic registration tag ERT) </w:t>
      </w:r>
      <w:r>
        <w:rPr/>
        <w:t>palubní zařízení ERI, které obsahuje data ERI s relevantním zabezpečením a jedno nebo více rozhraní pro přístup k datům</w:t>
      </w:r>
    </w:p>
    <w:p>
      <w:pPr>
        <w:pStyle w:val="Textnormy"/>
        <w:spacing w:before="120" w:after="120"/>
        <w:rPr/>
      </w:pPr>
      <w:r>
        <w:rPr>
          <w:b/>
        </w:rPr>
        <w:t xml:space="preserve">3.4 palubní zařízení ERI </w:t>
      </w:r>
      <w:r>
        <w:rPr>
          <w:i/>
        </w:rPr>
        <w:t xml:space="preserve">(onboard equipment ERI) </w:t>
      </w:r>
      <w:r>
        <w:rPr/>
        <w:t>zařízení připevněné do nebo vně vozidla a používané pro účely ERI</w:t>
      </w:r>
    </w:p>
    <w:p>
      <w:pPr>
        <w:pStyle w:val="Textnormy"/>
        <w:rPr/>
      </w:pPr>
      <w:r>
        <w:rPr/>
        <w:t xml:space="preserve">Další termíny a zkratky z oboru ITS jsou obsaženy ve slovníku ITS terminology.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4 Symboly a zkratky</w:t>
      </w:r>
    </w:p>
    <w:p>
      <w:pPr>
        <w:pStyle w:val="Textnormy"/>
        <w:spacing w:before="120" w:after="120"/>
        <w:rPr/>
      </w:pPr>
      <w:r>
        <w:rPr>
          <w:b/>
        </w:rPr>
        <w:t xml:space="preserve">ERI </w:t>
      </w:r>
      <w:r>
        <w:rPr/>
        <w:t>identifikace elektronické registrace</w:t>
      </w:r>
    </w:p>
    <w:p>
      <w:pPr>
        <w:pStyle w:val="Textnormy"/>
        <w:spacing w:before="120" w:after="120"/>
        <w:rPr/>
      </w:pPr>
      <w:r>
        <w:rPr>
          <w:b/>
        </w:rPr>
        <w:t xml:space="preserve">ERR </w:t>
      </w:r>
      <w:r>
        <w:rPr/>
        <w:t>čtecí zařízení elektronické registrace</w:t>
      </w:r>
    </w:p>
    <w:p>
      <w:pPr>
        <w:pStyle w:val="Textnormy"/>
        <w:spacing w:before="120" w:after="120"/>
        <w:rPr/>
      </w:pPr>
      <w:r>
        <w:rPr>
          <w:b/>
        </w:rPr>
        <w:t xml:space="preserve">ERT </w:t>
      </w:r>
      <w:r>
        <w:rPr/>
        <w:t>tag elektronické registrace</w:t>
      </w:r>
    </w:p>
    <w:p>
      <w:pPr>
        <w:pStyle w:val="Textnormy"/>
        <w:spacing w:before="120" w:after="120"/>
        <w:rPr>
          <w:b/>
        </w:rPr>
      </w:pPr>
      <w:r>
        <w:rPr>
          <w:b/>
        </w:rPr>
        <w:t xml:space="preserve">PK </w:t>
      </w:r>
      <w:r>
        <w:rPr/>
        <w:t>pozemní komunikace</w:t>
      </w:r>
    </w:p>
    <w:p>
      <w:pPr>
        <w:pStyle w:val="Textnormy"/>
        <w:spacing w:before="120" w:after="120"/>
        <w:rPr/>
      </w:pPr>
      <w:r>
        <w:rPr>
          <w:b/>
        </w:rPr>
        <w:t xml:space="preserve">VIN </w:t>
      </w:r>
      <w:r>
        <w:rPr/>
        <w:t>identifikační číslo vozidla</w:t>
      </w:r>
    </w:p>
    <w:p>
      <w:pPr>
        <w:pStyle w:val="Textnormy"/>
        <w:rPr/>
      </w:pPr>
      <w:r>
        <w:rPr/>
        <w:t xml:space="preserve">Další termíny a zkratky z oboru ITS jsou obsaženy ve slovníku ITS terminology (www.ITSterminology.org).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5 Kontext systému identifikace elektronické registrace</w:t>
      </w:r>
    </w:p>
    <w:p>
      <w:pPr>
        <w:pStyle w:val="Textnormy"/>
        <w:rPr/>
      </w:pPr>
      <w:r>
        <w:rPr/>
        <w:t xml:space="preserve">ERI může mít různá použití s různým rozsahem uplatnění. Na nejjednodušší úrovni zahrnuje „základní ERI” sekvence transakce příkazy </w:t>
      </w:r>
      <w:r>
        <w:rPr>
          <w:i/>
        </w:rPr>
        <w:t>Wake up</w:t>
      </w:r>
      <w:r>
        <w:rPr/>
        <w:t>,</w:t>
      </w:r>
      <w:r>
        <w:rPr>
          <w:i/>
        </w:rPr>
        <w:t xml:space="preserve"> Request ID </w:t>
      </w:r>
      <w:r>
        <w:rPr/>
        <w:t>a</w:t>
      </w:r>
      <w:r>
        <w:rPr>
          <w:i/>
        </w:rPr>
        <w:t xml:space="preserve"> Provide ID</w:t>
      </w:r>
      <w:r>
        <w:rPr/>
        <w:t>. Sekvence transakce pro „plně vybavenou“ ERI (komplexní ERI) je složitější a může mít mnoho forem. Následující obrázek obsahuje kontextový diagram prostředí, ve kterém se vyskytuje ERT, s širšími vazbami na jiné komponenty systému ERI.</w:t>
      </w:r>
    </w:p>
    <w:p>
      <w:pPr>
        <w:pStyle w:val="Textnormy"/>
        <w:jc w:val="center"/>
        <w:rPr/>
      </w:pPr>
      <w:r>
        <w:rPr>
          <w:lang w:val="en-US" w:eastAsia="en-US"/>
        </w:rPr>
        <w:drawing>
          <wp:inline distT="0" distB="0" distL="0" distR="0">
            <wp:extent cx="4356100" cy="2725420"/>
            <wp:effectExtent l="0" t="0" r="0" b="0"/>
            <wp:docPr id="2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2" name="obrázek 6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6" t="-10" r="-6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272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adpisTabObr"/>
        <w:rPr/>
      </w:pPr>
      <w:r>
        <w:rPr/>
        <w:t xml:space="preserve">Obrázek 2 – „Plně vybavený“ systém ERI s palubní komponentou ERT </w:t>
      </w:r>
    </w:p>
    <w:p>
      <w:pPr>
        <w:pStyle w:val="Textnormy"/>
        <w:rPr/>
      </w:pPr>
      <w:r>
        <w:rPr/>
        <w:t>„</w:t>
      </w:r>
      <w:r>
        <w:rPr/>
        <w:t xml:space="preserve">Plně vybavený“ systém ERI může zahrnovat palubní ERT, zabezpečené uložení dat ERI, bezdrátové rozhraní mezi ERT vozidla a čtecím/zapisovacím zařízením na straně infrastruktury, palubní rozhraní mezi ERT a zařízením vozidla, které není ERI, snímací systém k detekci přítomnosti vozidla v určitém místě a zahájení komunikace mezi čtečkou a ERT a ERI (back office) k podpoře aplikace ERI, která může být cílem nebo zdrojem dat ERI. </w:t>
      </w:r>
    </w:p>
    <w:p>
      <w:pPr>
        <w:pStyle w:val="Textnormy"/>
        <w:rPr>
          <w:b/>
          <w:sz w:val="22"/>
          <w:szCs w:val="22"/>
        </w:rPr>
      </w:pPr>
      <w:r>
        <w:rPr>
          <w:b/>
          <w:sz w:val="22"/>
          <w:szCs w:val="22"/>
        </w:rPr>
        <w:t>6 Tag elektronické registrace a bezpečnostní opatření</w:t>
      </w:r>
    </w:p>
    <w:p>
      <w:pPr>
        <w:pStyle w:val="Textnormy"/>
        <w:spacing w:before="0" w:after="120"/>
        <w:rPr/>
      </w:pPr>
      <w:r>
        <w:rPr/>
        <w:t>Některé aplikace ERI mohou požadovat varianty architektury umožňující ERT fungovat s jedním nebo více rozhraními. ERT pro tato rozhraní poskytuje zabezpečené prostředí pro data ERI za použití symetrického či asymetrického šifrování. Při použití asymetrických metod šifrování stanovuje ISO/TS 24534-4 požadavky na širokou škálu interoperabilních ERT a ERR. Při použití symetrických metod šifrování stanovuje požadavky ISO/TS 24534-5, dodatečné požadavky lze nalézt v ISO 25435.</w:t>
      </w:r>
    </w:p>
    <w:sectPr>
      <w:footerReference w:type="defaul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Cambria">
    <w:charset w:val="ee" w:characterSet="windows-1250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roman"/>
    <w:pitch w:val="variable"/>
  </w:font>
  <w:font w:name="StarSymbol">
    <w:altName w:val="Arial Unicode MS"/>
    <w:charset w:val="ee" w:characterSet="windows-1250"/>
    <w:family w:val="auto"/>
    <w:pitch w:val="default"/>
  </w:font>
  <w:font w:name="Courier New">
    <w:charset w:val="ee" w:characterSet="windows-1250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Tahoma">
    <w:charset w:val="ee" w:characterSet="windows-1250"/>
    <w:family w:val="swiss"/>
    <w:pitch w:val="variable"/>
  </w:font>
  <w:font w:name="Star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6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120" cy="146050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1120" cy="1460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6pt;height:11.5pt;mso-wrap-distance-left:0pt;mso-wrap-distance-right:0pt;mso-wrap-distance-top:0pt;mso-wrap-distance-bottom:0pt;margin-top:0.05pt;mso-position-vertical-relative:text;margin-left:224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480"/>
        </w:tabs>
        <w:ind w:start="480" w:hanging="360"/>
      </w:pPr>
      <w:rPr>
        <w:rFonts w:ascii="Wingdings" w:hAnsi="Wingdings" w:cs="Wingdings" w:hint="default"/>
        <w:sz w:val="18"/>
        <w:szCs w:val="18"/>
      </w:rPr>
    </w:lvl>
    <w:lvl w:ilvl="1">
      <w:start w:val="1"/>
      <w:numFmt w:val="bullet"/>
      <w:lvlText w:val=""/>
      <w:lvlJc w:val="start"/>
      <w:pPr>
        <w:tabs>
          <w:tab w:val="num" w:pos="1200"/>
        </w:tabs>
        <w:ind w:start="1200" w:hanging="360"/>
      </w:pPr>
      <w:rPr>
        <w:rFonts w:ascii="Wingdings 2" w:hAnsi="Wingdings 2" w:cs="Wingdings 2" w:hint="default"/>
        <w:sz w:val="18"/>
        <w:szCs w:val="18"/>
      </w:rPr>
    </w:lvl>
    <w:lvl w:ilvl="2">
      <w:start w:val="1"/>
      <w:numFmt w:val="bullet"/>
      <w:lvlText w:val="■"/>
      <w:lvlJc w:val="start"/>
      <w:pPr>
        <w:tabs>
          <w:tab w:val="num" w:pos="1920"/>
        </w:tabs>
        <w:ind w:start="1920" w:hanging="360"/>
      </w:pPr>
      <w:rPr>
        <w:rFonts w:ascii="StarSymbol" w:hAnsi="StarSymbol" w:cs="StarSymbol" w:hint="default"/>
        <w:sz w:val="18"/>
        <w:szCs w:val="18"/>
      </w:rPr>
    </w:lvl>
    <w:lvl w:ilvl="3">
      <w:start w:val="1"/>
      <w:numFmt w:val="bullet"/>
      <w:lvlText w:val=""/>
      <w:lvlJc w:val="start"/>
      <w:pPr>
        <w:tabs>
          <w:tab w:val="num" w:pos="2640"/>
        </w:tabs>
        <w:ind w:start="2640" w:hanging="360"/>
      </w:pPr>
      <w:rPr>
        <w:rFonts w:ascii="Wingdings" w:hAnsi="Wingdings" w:cs="Wingdings" w:hint="default"/>
        <w:sz w:val="18"/>
        <w:szCs w:val="18"/>
      </w:rPr>
    </w:lvl>
    <w:lvl w:ilvl="4">
      <w:start w:val="1"/>
      <w:numFmt w:val="bullet"/>
      <w:lvlText w:val=""/>
      <w:lvlJc w:val="start"/>
      <w:pPr>
        <w:tabs>
          <w:tab w:val="num" w:pos="3360"/>
        </w:tabs>
        <w:ind w:start="3360" w:hanging="360"/>
      </w:pPr>
      <w:rPr>
        <w:rFonts w:ascii="Wingdings 2" w:hAnsi="Wingdings 2" w:cs="Wingdings 2" w:hint="default"/>
        <w:sz w:val="18"/>
        <w:szCs w:val="18"/>
      </w:rPr>
    </w:lvl>
    <w:lvl w:ilvl="5">
      <w:start w:val="1"/>
      <w:numFmt w:val="bullet"/>
      <w:lvlText w:val="■"/>
      <w:lvlJc w:val="start"/>
      <w:pPr>
        <w:tabs>
          <w:tab w:val="num" w:pos="4080"/>
        </w:tabs>
        <w:ind w:start="4080" w:hanging="360"/>
      </w:pPr>
      <w:rPr>
        <w:rFonts w:ascii="StarSymbol" w:hAnsi="StarSymbol" w:cs="StarSymbol" w:hint="default"/>
        <w:sz w:val="18"/>
        <w:szCs w:val="18"/>
      </w:rPr>
    </w:lvl>
    <w:lvl w:ilvl="6">
      <w:start w:val="1"/>
      <w:numFmt w:val="bullet"/>
      <w:lvlText w:val=""/>
      <w:lvlJc w:val="start"/>
      <w:pPr>
        <w:tabs>
          <w:tab w:val="num" w:pos="4800"/>
        </w:tabs>
        <w:ind w:start="4800" w:hanging="360"/>
      </w:pPr>
      <w:rPr>
        <w:rFonts w:ascii="Wingdings" w:hAnsi="Wingdings" w:cs="Wingdings" w:hint="default"/>
        <w:sz w:val="18"/>
        <w:szCs w:val="18"/>
      </w:rPr>
    </w:lvl>
    <w:lvl w:ilvl="7">
      <w:start w:val="1"/>
      <w:numFmt w:val="bullet"/>
      <w:lvlText w:val=""/>
      <w:lvlJc w:val="start"/>
      <w:pPr>
        <w:tabs>
          <w:tab w:val="num" w:pos="5520"/>
        </w:tabs>
        <w:ind w:start="5520" w:hanging="360"/>
      </w:pPr>
      <w:rPr>
        <w:rFonts w:ascii="Wingdings 2" w:hAnsi="Wingdings 2" w:cs="Wingdings 2" w:hint="default"/>
        <w:sz w:val="18"/>
        <w:szCs w:val="18"/>
      </w:rPr>
    </w:lvl>
    <w:lvl w:ilvl="8">
      <w:start w:val="1"/>
      <w:numFmt w:val="bullet"/>
      <w:lvlText w:val="■"/>
      <w:lvlJc w:val="start"/>
      <w:pPr>
        <w:tabs>
          <w:tab w:val="num" w:pos="6240"/>
        </w:tabs>
        <w:ind w:start="6240" w:hanging="360"/>
      </w:pPr>
      <w:rPr>
        <w:rFonts w:ascii="StarSymbol" w:hAnsi="StarSymbol" w:cs="StarSymbol" w:hint="default"/>
        <w:sz w:val="18"/>
        <w:szCs w:val="18"/>
      </w:rPr>
    </w:lvl>
  </w:abstractNum>
  <w:abstractNum w:abstractNumId="3">
    <w:lvl w:ilvl="0">
      <w:start w:val="1"/>
      <w:numFmt w:val="bullet"/>
      <w:lvlText w:val="–"/>
      <w:lvlJc w:val="start"/>
      <w:pPr>
        <w:tabs>
          <w:tab w:val="num" w:pos="360"/>
        </w:tabs>
        <w:ind w:start="283" w:hanging="283"/>
      </w:pPr>
      <w:rPr>
        <w:rFonts w:ascii="Arial" w:hAnsi="Arial" w:cs="Aria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283"/>
        </w:tabs>
        <w:ind w:start="28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BodyText"/>
    <w:qFormat/>
    <w:pPr>
      <w:keepNext w:val="true"/>
      <w:widowControl w:val="false"/>
      <w:numPr>
        <w:ilvl w:val="0"/>
        <w:numId w:val="1"/>
      </w:numPr>
      <w:suppressAutoHyphens w:val="true"/>
      <w:spacing w:before="240" w:after="120"/>
      <w:jc w:val="both"/>
      <w:outlineLvl w:val="0"/>
    </w:pPr>
    <w:rPr>
      <w:rFonts w:eastAsia="Lucida Sans Unicode" w:cs="Tahom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spacing w:before="240" w:after="60"/>
      <w:outlineLvl w:val="2"/>
    </w:pPr>
    <w:rPr>
      <w:rFonts w:cs="Arial"/>
      <w:b/>
      <w:bCs/>
      <w:sz w:val="26"/>
      <w:szCs w:val="26"/>
    </w:rPr>
  </w:style>
  <w:style w:type="character" w:styleId="WW8Num2z0">
    <w:name w:val="WW8Num2z0"/>
    <w:qFormat/>
    <w:rPr>
      <w:rFonts w:ascii="Wingdings" w:hAnsi="Wingdings" w:cs="StarSymbol;Times New Roman"/>
      <w:sz w:val="18"/>
      <w:szCs w:val="18"/>
    </w:rPr>
  </w:style>
  <w:style w:type="character" w:styleId="WW8Num2z1">
    <w:name w:val="WW8Num2z1"/>
    <w:qFormat/>
    <w:rPr>
      <w:rFonts w:ascii="Wingdings 2" w:hAnsi="Wingdings 2" w:cs="StarSymbol;Times New Roman"/>
      <w:sz w:val="18"/>
      <w:szCs w:val="18"/>
    </w:rPr>
  </w:style>
  <w:style w:type="character" w:styleId="WW8Num2z2">
    <w:name w:val="WW8Num2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3z0">
    <w:name w:val="WW8Num3z0"/>
    <w:qFormat/>
    <w:rPr>
      <w:rFonts w:ascii="Wingdings" w:hAnsi="Wingdings" w:cs="StarSymbol;Times New Roman"/>
      <w:sz w:val="18"/>
      <w:szCs w:val="18"/>
    </w:rPr>
  </w:style>
  <w:style w:type="character" w:styleId="WW8Num3z1">
    <w:name w:val="WW8Num3z1"/>
    <w:qFormat/>
    <w:rPr>
      <w:rFonts w:ascii="Wingdings 2" w:hAnsi="Wingdings 2" w:cs="StarSymbol;Times New Roman"/>
      <w:sz w:val="18"/>
      <w:szCs w:val="18"/>
    </w:rPr>
  </w:style>
  <w:style w:type="character" w:styleId="WW8Num3z2">
    <w:name w:val="WW8Num3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4z0">
    <w:name w:val="WW8Num4z0"/>
    <w:qFormat/>
    <w:rPr>
      <w:rFonts w:ascii="Arial" w:hAnsi="Arial" w:cs="Aria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8z0">
    <w:name w:val="WW8Num8z0"/>
    <w:qFormat/>
    <w:rPr>
      <w:rFonts w:ascii="Wingdings" w:hAnsi="Wingdings" w:cs="StarSymbol;Times New Roman"/>
      <w:sz w:val="18"/>
      <w:szCs w:val="18"/>
    </w:rPr>
  </w:style>
  <w:style w:type="character" w:styleId="WW8Num8z1">
    <w:name w:val="WW8Num8z1"/>
    <w:qFormat/>
    <w:rPr>
      <w:rFonts w:ascii="Wingdings 2" w:hAnsi="Wingdings 2" w:cs="StarSymbol;Times New Roman"/>
      <w:sz w:val="18"/>
      <w:szCs w:val="18"/>
    </w:rPr>
  </w:style>
  <w:style w:type="character" w:styleId="WW8Num8z2">
    <w:name w:val="WW8Num8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9z0">
    <w:name w:val="WW8Num9z0"/>
    <w:qFormat/>
    <w:rPr>
      <w:rFonts w:ascii="Arial" w:hAnsi="Arial" w:cs="Arial"/>
      <w:sz w:val="18"/>
      <w:szCs w:val="18"/>
    </w:rPr>
  </w:style>
  <w:style w:type="character" w:styleId="WW8Num9z1">
    <w:name w:val="WW8Num9z1"/>
    <w:qFormat/>
    <w:rPr>
      <w:rFonts w:ascii="Wingdings 2" w:hAnsi="Wingdings 2" w:cs="StarSymbol;Times New Roman"/>
      <w:sz w:val="18"/>
      <w:szCs w:val="18"/>
    </w:rPr>
  </w:style>
  <w:style w:type="character" w:styleId="WW8Num9z2">
    <w:name w:val="WW8Num9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9z3">
    <w:name w:val="WW8Num9z3"/>
    <w:qFormat/>
    <w:rPr>
      <w:rFonts w:ascii="Wingdings" w:hAnsi="Wingdings" w:cs="StarSymbol;Times New Roman"/>
      <w:sz w:val="18"/>
      <w:szCs w:val="18"/>
    </w:rPr>
  </w:style>
  <w:style w:type="character" w:styleId="WW8Num10z0">
    <w:name w:val="WW8Num10z0"/>
    <w:qFormat/>
    <w:rPr>
      <w:rFonts w:ascii="Arial" w:hAnsi="Arial" w:cs="Arial"/>
      <w:sz w:val="18"/>
      <w:szCs w:val="18"/>
    </w:rPr>
  </w:style>
  <w:style w:type="character" w:styleId="WW8Num10z1">
    <w:name w:val="WW8Num10z1"/>
    <w:qFormat/>
    <w:rPr>
      <w:rFonts w:ascii="Wingdings 2" w:hAnsi="Wingdings 2" w:cs="StarSymbol;Times New Roman"/>
      <w:sz w:val="18"/>
      <w:szCs w:val="18"/>
    </w:rPr>
  </w:style>
  <w:style w:type="character" w:styleId="WW8Num10z2">
    <w:name w:val="WW8Num10z2"/>
    <w:qFormat/>
    <w:rPr>
      <w:rFonts w:ascii="StarSymbol;Times New Roman" w:hAnsi="StarSymbol;Times New Roman" w:cs="StarSymbol;Times New Roman"/>
      <w:sz w:val="18"/>
      <w:szCs w:val="18"/>
    </w:rPr>
  </w:style>
  <w:style w:type="character" w:styleId="WW8Num10z3">
    <w:name w:val="WW8Num10z3"/>
    <w:qFormat/>
    <w:rPr>
      <w:rFonts w:ascii="Wingdings" w:hAnsi="Wingdings" w:cs="StarSymbol;Times New Roman"/>
      <w:sz w:val="18"/>
      <w:szCs w:val="18"/>
    </w:rPr>
  </w:style>
  <w:style w:type="character" w:styleId="Standardnpsmoodstavce">
    <w:name w:val="Standardní písmo odstavce"/>
    <w:qFormat/>
    <w:rPr/>
  </w:style>
  <w:style w:type="character" w:styleId="TextnormyChar1">
    <w:name w:val="Text normy Char1"/>
    <w:basedOn w:val="Standardnpsmoodstavce"/>
    <w:qFormat/>
    <w:rPr>
      <w:rFonts w:ascii="Arial" w:hAnsi="Arial" w:cs="Arial"/>
      <w:lang w:val="cs-CZ" w:bidi="ar-SA"/>
    </w:rPr>
  </w:style>
  <w:style w:type="character" w:styleId="Hyperlink">
    <w:name w:val="Hyperlink"/>
    <w:rPr>
      <w:color w:val="000080"/>
      <w:u w:val="single"/>
    </w:rPr>
  </w:style>
  <w:style w:type="character" w:styleId="PageNumber">
    <w:name w:val="page number"/>
    <w:basedOn w:val="Standardnpsmoodstavce"/>
    <w:rPr/>
  </w:style>
  <w:style w:type="character" w:styleId="Odkaznakoment">
    <w:name w:val="Odkaz na komentář"/>
    <w:basedOn w:val="Standardnpsmoodstavce"/>
    <w:qFormat/>
    <w:rPr>
      <w:sz w:val="16"/>
      <w:szCs w:val="16"/>
    </w:rPr>
  </w:style>
  <w:style w:type="character" w:styleId="CharChar1">
    <w:name w:val=" Char Char1"/>
    <w:basedOn w:val="Standardnpsmoodstavce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CharChar">
    <w:name w:val=" Char Char"/>
    <w:basedOn w:val="Standardnpsmoodstavce"/>
    <w:qFormat/>
    <w:rPr>
      <w:rFonts w:ascii="Arial" w:hAnsi="Arial" w:cs="Aria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extnormy">
    <w:name w:val="Text normy"/>
    <w:qFormat/>
    <w:pPr>
      <w:widowControl/>
      <w:bidi w:val="0"/>
      <w:spacing w:before="0" w:after="120"/>
      <w:jc w:val="both"/>
    </w:pPr>
    <w:rPr>
      <w:rFonts w:ascii="Arial" w:hAnsi="Arial" w:eastAsia="Times New Roman" w:cs="Arial"/>
      <w:color w:val="auto"/>
      <w:sz w:val="20"/>
      <w:szCs w:val="20"/>
      <w:lang w:val="cs-CZ" w:bidi="ar-SA" w:eastAsia="zh-CN"/>
    </w:rPr>
  </w:style>
  <w:style w:type="paragraph" w:styleId="Nadpislnku">
    <w:name w:val="Nadpis článku"/>
    <w:basedOn w:val="Textnormy"/>
    <w:next w:val="Textnormy"/>
    <w:qFormat/>
    <w:pPr>
      <w:keepNext w:val="true"/>
      <w:keepLines/>
      <w:suppressAutoHyphens w:val="true"/>
      <w:spacing w:before="120" w:after="120"/>
      <w:jc w:val="start"/>
    </w:pPr>
    <w:rPr>
      <w:b/>
    </w:rPr>
  </w:style>
  <w:style w:type="paragraph" w:styleId="1StrTrZn">
    <w:name w:val="1StrTrZn"/>
    <w:basedOn w:val="Textnormy"/>
    <w:qFormat/>
    <w:pPr>
      <w:spacing w:lineRule="exact" w:line="340" w:before="80" w:after="80"/>
      <w:jc w:val="start"/>
    </w:pPr>
    <w:rPr>
      <w:sz w:val="28"/>
    </w:rPr>
  </w:style>
  <w:style w:type="paragraph" w:styleId="1StrNN-1-23">
    <w:name w:val="1StrNN-1-23"/>
    <w:basedOn w:val="Textnormy"/>
    <w:qFormat/>
    <w:pPr>
      <w:widowControl w:val="false"/>
      <w:suppressAutoHyphens w:val="true"/>
      <w:spacing w:lineRule="exact" w:line="340" w:before="640" w:after="0"/>
      <w:ind w:hanging="0" w:start="0" w:end="567"/>
      <w:jc w:val="start"/>
    </w:pPr>
    <w:rPr>
      <w:b/>
      <w:sz w:val="28"/>
    </w:rPr>
  </w:style>
  <w:style w:type="paragraph" w:styleId="Cizojazynnzev">
    <w:name w:val="Cizojazyčný název"/>
    <w:basedOn w:val="Textnormy"/>
    <w:qFormat/>
    <w:pPr>
      <w:widowControl w:val="false"/>
      <w:suppressAutoHyphens w:val="true"/>
      <w:jc w:val="start"/>
    </w:pPr>
    <w:rPr>
      <w:sz w:val="18"/>
    </w:rPr>
  </w:style>
  <w:style w:type="paragraph" w:styleId="Shodnost">
    <w:name w:val="Shodnost"/>
    <w:basedOn w:val="Textnormy"/>
    <w:next w:val="Textnormy"/>
    <w:qFormat/>
    <w:pPr>
      <w:keepNext w:val="true"/>
      <w:keepLines/>
      <w:tabs>
        <w:tab w:val="clear" w:pos="708"/>
        <w:tab w:val="right" w:pos="9923" w:leader="none"/>
      </w:tabs>
      <w:spacing w:before="240" w:after="360"/>
      <w:jc w:val="start"/>
    </w:pPr>
    <w:rPr>
      <w:sz w:val="28"/>
    </w:rPr>
  </w:style>
  <w:style w:type="paragraph" w:styleId="1Str1Rad">
    <w:name w:val="1Str1Rad"/>
    <w:basedOn w:val="Textnormy"/>
    <w:qFormat/>
    <w:pPr>
      <w:widowControl w:val="false"/>
      <w:tabs>
        <w:tab w:val="clear" w:pos="708"/>
        <w:tab w:val="left" w:pos="7371" w:leader="none"/>
        <w:tab w:val="right" w:pos="9866" w:leader="none"/>
      </w:tabs>
    </w:pPr>
    <w:rPr/>
  </w:style>
  <w:style w:type="paragraph" w:styleId="esknorma">
    <w:name w:val="Česká norma"/>
    <w:basedOn w:val="Textnormy"/>
    <w:next w:val="1Str1Rad"/>
    <w:qFormat/>
    <w:pPr>
      <w:spacing w:before="0" w:after="0"/>
      <w:jc w:val="start"/>
    </w:pPr>
    <w:rPr>
      <w:sz w:val="28"/>
    </w:rPr>
  </w:style>
  <w:style w:type="paragraph" w:styleId="1StrCN">
    <w:name w:val="1StrCN"/>
    <w:basedOn w:val="Textnormy"/>
    <w:next w:val="1StrTrZn"/>
    <w:qFormat/>
    <w:pPr>
      <w:spacing w:lineRule="exact" w:line="340" w:before="180" w:after="0"/>
      <w:jc w:val="start"/>
    </w:pPr>
    <w:rPr>
      <w:b/>
      <w:sz w:val="32"/>
      <w:lang w:val="en-US" w:eastAsia="en-US"/>
    </w:rPr>
  </w:style>
  <w:style w:type="paragraph" w:styleId="Tabulka">
    <w:name w:val="Tabulka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Texttabulky">
    <w:name w:val="Text tabulky"/>
    <w:basedOn w:val="Textnormy"/>
    <w:qFormat/>
    <w:pPr>
      <w:suppressAutoHyphens w:val="true"/>
      <w:spacing w:before="60" w:after="60"/>
      <w:jc w:val="start"/>
    </w:pPr>
    <w:rPr>
      <w:rFonts w:eastAsia="Arial"/>
      <w:kern w:val="2"/>
      <w:sz w:val="18"/>
    </w:rPr>
  </w:style>
  <w:style w:type="paragraph" w:styleId="Ilustrace">
    <w:name w:val="Ilustrace"/>
    <w:basedOn w:val="Normal"/>
    <w:qFormat/>
    <w:pPr>
      <w:widowControl w:val="false"/>
      <w:suppressLineNumbers/>
      <w:suppressAutoHyphens w:val="true"/>
      <w:spacing w:before="120" w:after="120"/>
      <w:jc w:val="both"/>
    </w:pPr>
    <w:rPr>
      <w:rFonts w:ascii="Times New Roman" w:hAnsi="Times New Roman" w:eastAsia="Lucida Sans Unicode" w:cs="Tahoma"/>
      <w:i/>
      <w:iCs/>
      <w:kern w:val="2"/>
      <w:sz w:val="24"/>
      <w:szCs w:val="24"/>
    </w:rPr>
  </w:style>
  <w:style w:type="paragraph" w:styleId="NadpisTabObr">
    <w:name w:val="NadpisTabObr"/>
    <w:basedOn w:val="Nadpislnku"/>
    <w:next w:val="Textnormy"/>
    <w:qFormat/>
    <w:pPr>
      <w:keepNext w:val="false"/>
      <w:jc w:val="cente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Textnormy"/>
    <w:pPr/>
    <w:rPr>
      <w:sz w:val="18"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komente">
    <w:name w:val="Text komentáře"/>
    <w:basedOn w:val="Normal"/>
    <w:qFormat/>
    <w:pPr/>
    <w:rPr/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Seznamvnorm">
    <w:name w:val="Seznam v normě"/>
    <w:basedOn w:val="Textnormy"/>
    <w:qFormat/>
    <w:pPr>
      <w:numPr>
        <w:ilvl w:val="0"/>
        <w:numId w:val="3"/>
      </w:numPr>
    </w:pPr>
    <w:rPr/>
  </w:style>
  <w:style w:type="paragraph" w:styleId="Poznmka">
    <w:name w:val="Poznámka"/>
    <w:basedOn w:val="Textnormy"/>
    <w:next w:val="Textnormy"/>
    <w:qFormat/>
    <w:pPr>
      <w:spacing w:before="80" w:after="200"/>
    </w:pPr>
    <w:rPr>
      <w:sz w:val="18"/>
    </w:rPr>
  </w:style>
  <w:style w:type="paragraph" w:styleId="slovanseznam">
    <w:name w:val="Číslovaný seznam"/>
    <w:basedOn w:val="Textnormy"/>
    <w:qFormat/>
    <w:pPr>
      <w:numPr>
        <w:ilvl w:val="0"/>
        <w:numId w:val="5"/>
      </w:numPr>
      <w:ind w:hanging="284" w:start="284" w:end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2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2009-10-20T12:52:00Z</dcterms:created>
  <dc:creator>David Bárta</dc:creator>
  <dc:description/>
  <cp:keywords/>
  <dc:language>en-US</dc:language>
  <cp:lastModifiedBy>barta</cp:lastModifiedBy>
  <cp:lastPrinted>2008-08-26T00:25:00Z</cp:lastPrinted>
  <dcterms:modified xsi:type="dcterms:W3CDTF">2009-10-20T12:52:00Z</dcterms:modified>
  <cp:revision>2</cp:revision>
  <dc:subject/>
  <dc:title>ČESKÁ TECHNICKÁ NORMA</dc:title>
</cp:coreProperties>
</file>