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1Str1Rad"/>
        <w:tabs>
          <w:tab w:val="clear" w:pos="7371"/>
          <w:tab w:val="clear" w:pos="9866"/>
          <w:tab w:val="left" w:pos="7080" w:leader="none"/>
          <w:tab w:val="right" w:pos="9923" w:leader="none"/>
        </w:tabs>
        <w:spacing w:before="0" w:after="60"/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EXTRAKT z české technické normy</w:t>
      </w:r>
    </w:p>
    <w:p>
      <w:pPr>
        <w:pStyle w:val="Textnormy"/>
        <w:rPr>
          <w:b/>
        </w:rPr>
      </w:pPr>
      <w:r>
        <w:rPr>
          <w:b/>
        </w:rPr>
        <w:t>Extrakt nenahrazuje samotnou technickou normu, je pouze informativním materiálem o normě.</w:t>
      </w:r>
    </w:p>
    <w:p>
      <w:pPr>
        <w:pStyle w:val="1Str1Rad"/>
        <w:tabs>
          <w:tab w:val="clear" w:pos="7371"/>
          <w:tab w:val="clear" w:pos="9866"/>
          <w:tab w:val="left" w:pos="7080" w:leader="none"/>
          <w:tab w:val="right" w:pos="9923" w:leader="none"/>
        </w:tabs>
        <w:spacing w:before="0" w:after="60"/>
        <w:rPr>
          <w:b/>
          <w:sz w:val="40"/>
          <w:szCs w:val="40"/>
        </w:rPr>
      </w:pPr>
      <w:r>
        <w:rPr>
          <w:b/>
          <w:sz w:val="40"/>
          <w:szCs w:val="40"/>
        </w:rPr>
        <w:t>ICS 03.220.20, 35.240.60</w:t>
        <w:tab/>
      </w:r>
    </w:p>
    <w:tbl>
      <w:tblPr>
        <w:tblW w:w="9923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7371"/>
        <w:gridCol w:w="2552"/>
      </w:tblGrid>
      <w:tr>
        <w:trPr>
          <w:trHeight w:val="1701" w:hRule="atLeast"/>
          <w:cantSplit/>
        </w:trPr>
        <w:tc>
          <w:tcPr>
            <w:tcW w:w="7371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1StrCN"/>
              <w:spacing w:before="180" w:after="0"/>
              <w:rPr/>
            </w:pPr>
            <w:r>
              <w:rPr/>
              <w:t xml:space="preserve">Dopravní telematika – Automatická identifikace vozidel, zařízení a nákladů – Identifikace elektronické registrace (ERI) vozidel – Část 3: </w:t>
            </w:r>
            <w:r>
              <w:rPr>
                <w:rFonts w:cs="Arial"/>
              </w:rPr>
              <w:t>Data o vozidle</w:t>
            </w:r>
          </w:p>
        </w:tc>
        <w:tc>
          <w:tcPr>
            <w:tcW w:w="2552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1StrCN"/>
              <w:spacing w:before="180" w:after="0"/>
              <w:rPr>
                <w:b w:val="false"/>
                <w:sz w:val="28"/>
              </w:rPr>
            </w:pPr>
            <w:r>
              <w:rPr/>
              <w:t>ČSN</w:t>
              <w:br/>
              <w:t>EN ISO 24534-3</w:t>
              <w:br/>
            </w:r>
          </w:p>
          <w:p>
            <w:pPr>
              <w:pStyle w:val="1StrTrZn"/>
              <w:spacing w:before="80" w:after="80"/>
              <w:rPr/>
            </w:pPr>
            <w:r>
              <w:rPr/>
              <w:t>01 8338</w:t>
            </w:r>
          </w:p>
        </w:tc>
      </w:tr>
    </w:tbl>
    <w:p>
      <w:pPr>
        <w:pStyle w:val="Shodnost"/>
        <w:tabs>
          <w:tab w:val="left" w:pos="7920" w:leader="none"/>
        </w:tabs>
        <w:rPr/>
      </w:pPr>
      <w:r>
        <w:rPr/>
        <w:tab/>
        <w:t>40 stran</w:t>
      </w:r>
    </w:p>
    <w:p>
      <w:pPr>
        <w:pStyle w:val="Textnormy"/>
        <w:rPr>
          <w:b/>
          <w:sz w:val="22"/>
          <w:szCs w:val="22"/>
        </w:rPr>
      </w:pPr>
      <w:r>
        <w:rPr>
          <w:b/>
          <w:sz w:val="22"/>
          <w:szCs w:val="22"/>
        </w:rPr>
        <w:t>Úvod</w:t>
      </w:r>
    </w:p>
    <w:p>
      <w:pPr>
        <w:pStyle w:val="Textnormy"/>
        <w:rPr>
          <w:spacing w:val="-2"/>
        </w:rPr>
      </w:pPr>
      <w:r>
        <w:rPr>
          <w:spacing w:val="-2"/>
        </w:rPr>
        <w:t xml:space="preserve">Koncept elektronické identifikace registrace (ERI), tedy zjištění jednoznačné identity vozidla použitím elektronických prostředků, nabývá v posledních letech na významu. ERI lze totiž využít nejen pro vlastní identifikaci, ale také pro potenciální aplikace jako je například monitorování a řízení dopravy. </w:t>
      </w:r>
    </w:p>
    <w:p>
      <w:pPr>
        <w:pStyle w:val="Textnormy"/>
        <w:rPr/>
      </w:pPr>
      <w:r>
        <w:rPr>
          <w:spacing w:val="-2"/>
        </w:rPr>
        <w:t>Vozidlo je v rámci ERI identifikováno svým jednoznačným identifikátorem (</w:t>
      </w:r>
      <w:r>
        <w:rPr/>
        <w:t xml:space="preserve">upřednostňovaný je VIN) který je uchováván v tagu elektronické registrace (ERT). ERT může navíc obsahovat dodatečná data. ERT komunikuje s čtečkou elektronické registrace ERR a volitelně s jinými palubními zařízeními vozidla. </w:t>
      </w:r>
    </w:p>
    <w:p>
      <w:pPr>
        <w:pStyle w:val="Textnormy"/>
        <w:rPr>
          <w:spacing w:val="-2"/>
        </w:rPr>
      </w:pPr>
      <w:r>
        <w:rPr>
          <w:spacing w:val="-2"/>
        </w:rPr>
        <w:t xml:space="preserve">Poznámka: Extrakt uvádí vybrané kapitoly popisovaného dokumentu a přejímá původní číslování kapitol.</w:t>
      </w:r>
    </w:p>
    <w:p>
      <w:pPr>
        <w:pStyle w:val="Textnormy"/>
        <w:rPr>
          <w:b/>
          <w:sz w:val="22"/>
          <w:szCs w:val="22"/>
        </w:rPr>
      </w:pPr>
      <w:r>
        <w:rPr>
          <w:b/>
          <w:sz w:val="22"/>
          <w:szCs w:val="22"/>
        </w:rPr>
        <w:t>Užití</w:t>
      </w:r>
    </w:p>
    <w:p>
      <w:pPr>
        <w:pStyle w:val="Textnormy"/>
        <w:rPr>
          <w:spacing w:val="-2"/>
        </w:rPr>
      </w:pPr>
      <w:r>
        <w:rPr>
          <w:spacing w:val="-2"/>
        </w:rPr>
        <w:t xml:space="preserve">Tato norma vznikla řízeným rozdělením normy elektronická identifikace registrace na 5 samostatných částí. Každá z částí má pevně daný rozsah působnosti. Tato, třetí, část stanovuje </w:t>
      </w:r>
      <w:r>
        <w:rPr>
          <w:b/>
          <w:spacing w:val="-2"/>
        </w:rPr>
        <w:t xml:space="preserve">data o vozidle </w:t>
      </w:r>
      <w:r>
        <w:rPr>
          <w:spacing w:val="-2"/>
        </w:rPr>
        <w:t xml:space="preserve">obsažená v tagu elektronické registrace ERT. </w:t>
      </w:r>
    </w:p>
    <w:p>
      <w:pPr>
        <w:pStyle w:val="Textnormy"/>
        <w:rPr/>
      </w:pPr>
      <w:r>
        <w:rPr/>
        <w:t xml:space="preserve">Tato norma je použitelná pro </w:t>
      </w:r>
      <w:r>
        <w:rPr>
          <w:b/>
        </w:rPr>
        <w:t>výrobce</w:t>
      </w:r>
      <w:r>
        <w:rPr/>
        <w:t xml:space="preserve"> tagů ERI pro to aby věděli, jaké údaje musí a může tag obsahovat. Uvádí jednoznačný identifikátor vozidla i strukturu doplňkových dat o vozidle, ale zároveň nechává mnoho prostoru pro použití vlastního identifikátoru vozidla a vlastních doplňkových dat v případě, že nebudou z některých důvodů v normě uvedené struktury vyhovovat výrobci, uživateli systému.</w:t>
      </w:r>
    </w:p>
    <w:p>
      <w:pPr>
        <w:pStyle w:val="Textnormy"/>
        <w:rPr/>
      </w:pPr>
      <w:r>
        <w:rPr/>
        <w:t xml:space="preserve">Norma je důležitá, díky tomu že stanoví strukturu dat ERI tag i s jednoznačným identifikátorem, i pro </w:t>
      </w:r>
      <w:r>
        <w:rPr>
          <w:b/>
        </w:rPr>
        <w:t>státní sféru</w:t>
      </w:r>
      <w:r>
        <w:rPr/>
        <w:t xml:space="preserve"> a to hlavně pro zadávání výběrových řízení potenciálního systému ERI. Struktura dat ERI ale umožňuje volbu (viz předchozí odstavec), která může vyústit v nejednoznačnost v implementaci. Tato </w:t>
      </w:r>
      <w:r>
        <w:rPr>
          <w:u w:val="single"/>
        </w:rPr>
        <w:t>nejednoznačnost</w:t>
      </w:r>
      <w:r>
        <w:rPr/>
        <w:t xml:space="preserve"> </w:t>
      </w:r>
      <w:r>
        <w:rPr>
          <w:u w:val="single"/>
        </w:rPr>
        <w:t>musí</w:t>
      </w:r>
      <w:r>
        <w:rPr/>
        <w:t xml:space="preserve"> být při použití této normy jako dokumentu k zadávací dokumentaci potenciálního systému ERI odstraněna například přesným udáním údajů, stanovených v normě, které musí tag ERT obsahovat.</w:t>
      </w:r>
    </w:p>
    <w:p>
      <w:pPr>
        <w:pStyle w:val="Textnormy"/>
        <w:rPr>
          <w:b/>
          <w:sz w:val="22"/>
          <w:szCs w:val="22"/>
        </w:rPr>
      </w:pPr>
      <w:r>
        <w:rPr>
          <w:b/>
          <w:sz w:val="22"/>
          <w:szCs w:val="22"/>
        </w:rPr>
        <w:t>1 Předmět normy</w:t>
      </w:r>
    </w:p>
    <w:p>
      <w:pPr>
        <w:pStyle w:val="Textnormy"/>
        <w:rPr/>
      </w:pPr>
      <w:r>
        <w:rPr/>
        <w:t xml:space="preserve">Tato mezinárodní norma zavádí jednoznačný identifikátor vozidla a další data o vozidle v rámci systému elektronické registrace ERI založené na jednoznačném identifikátoru, ten je zejména vhodný pro: </w:t>
      </w:r>
    </w:p>
    <w:p>
      <w:pPr>
        <w:pStyle w:val="Normal"/>
        <w:numPr>
          <w:ilvl w:val="0"/>
          <w:numId w:val="3"/>
        </w:numPr>
        <w:rPr/>
      </w:pPr>
      <w:r>
        <w:rPr/>
        <w:t>elektronickou identifikaci místních zahraničních vozidel národními správními orgány</w:t>
      </w:r>
    </w:p>
    <w:p>
      <w:pPr>
        <w:pStyle w:val="Normal"/>
        <w:numPr>
          <w:ilvl w:val="0"/>
          <w:numId w:val="3"/>
        </w:numPr>
        <w:rPr/>
      </w:pPr>
      <w:r>
        <w:rPr/>
        <w:t>výrobu vozidla, údržbu vozidla v době životnosti a identifikaci konce životnosti;</w:t>
      </w:r>
    </w:p>
    <w:p>
      <w:pPr>
        <w:pStyle w:val="Normal"/>
        <w:numPr>
          <w:ilvl w:val="0"/>
          <w:numId w:val="3"/>
        </w:numPr>
        <w:rPr/>
      </w:pPr>
      <w:r>
        <w:rPr/>
        <w:t>úpravu dat vozidla, účely spojené s bezpečností; snížení kriminality, a komerční služby.</w:t>
      </w:r>
    </w:p>
    <w:p>
      <w:pPr>
        <w:pStyle w:val="Textnormy"/>
        <w:rPr/>
      </w:pPr>
      <w:r>
        <w:rPr/>
      </w:r>
    </w:p>
    <w:p>
      <w:pPr>
        <w:pStyle w:val="Textnormy"/>
        <w:rPr/>
      </w:pPr>
      <w:r>
        <w:rPr/>
        <w:t xml:space="preserve">Veškerá doplňková data o vozidle jsou </w:t>
      </w:r>
      <w:r>
        <w:rPr>
          <w:b/>
        </w:rPr>
        <w:t>nepovinná</w:t>
      </w:r>
      <w:r>
        <w:rPr/>
        <w:t xml:space="preserve"> a je necháno na uvážení registračního orgánu či jiné „lokální“ autority použít či nepoužít ten který datový prvek stanovený v této normě. Norma uvádí pouze syntax těchto datových prvků.</w:t>
      </w:r>
    </w:p>
    <w:p>
      <w:pPr>
        <w:pStyle w:val="Textnormy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2 Souvisící normy</w:t>
      </w:r>
    </w:p>
    <w:p>
      <w:pPr>
        <w:pStyle w:val="Textnormy"/>
        <w:rPr/>
      </w:pPr>
      <w:r>
        <w:rPr/>
        <w:t>Různé části ISO 24534 obsahují celkový rámec pro ERI a specifikace požadavků pro „plně vybavenou“ ERI, jsou to tyto normy:</w:t>
      </w:r>
    </w:p>
    <w:p>
      <w:pPr>
        <w:pStyle w:val="Textnormy"/>
        <w:numPr>
          <w:ilvl w:val="0"/>
          <w:numId w:val="3"/>
        </w:numPr>
        <w:rPr/>
      </w:pPr>
      <w:r>
        <w:rPr>
          <w:rFonts w:cs="Arial"/>
        </w:rPr>
        <w:t xml:space="preserve">Část 1: Architektura, Část 2: Provozní požadavky, Část 4: </w:t>
      </w:r>
      <w:r>
        <w:rPr/>
        <w:t xml:space="preserve">Zabezpečení aplikační vrstvy použitím asymetrického šifrování a </w:t>
      </w:r>
      <w:r>
        <w:rPr>
          <w:rFonts w:cs="Arial"/>
        </w:rPr>
        <w:t xml:space="preserve">Část 5: </w:t>
      </w:r>
      <w:r>
        <w:rPr/>
        <w:t>Zabezpečení aplikační vrstvy použitím</w:t>
      </w:r>
      <w:r>
        <w:rPr>
          <w:rFonts w:cs="Arial"/>
        </w:rPr>
        <w:t xml:space="preserve"> symetrického šifrování</w:t>
      </w:r>
      <w:r>
        <w:rPr/>
        <w:t xml:space="preserve"> </w:t>
      </w:r>
    </w:p>
    <w:p>
      <w:pPr>
        <w:pStyle w:val="Textnormy"/>
        <w:rPr/>
      </w:pPr>
      <w:r>
        <w:rPr/>
        <w:t>Další souvisící normou je ISO IEC 8824 ASN.1 zápis abstraktní syntaxe.</w:t>
      </w:r>
    </w:p>
    <w:p>
      <w:pPr>
        <w:pStyle w:val="Textnormy"/>
        <w:rPr>
          <w:b/>
          <w:sz w:val="22"/>
          <w:szCs w:val="22"/>
        </w:rPr>
      </w:pPr>
      <w:r>
        <w:rPr>
          <w:b/>
          <w:sz w:val="22"/>
          <w:szCs w:val="22"/>
        </w:rPr>
        <w:t>3 Termíny a definice</w:t>
      </w:r>
    </w:p>
    <w:p>
      <w:pPr>
        <w:pStyle w:val="Textnormy"/>
        <w:rPr/>
      </w:pPr>
      <w:r>
        <w:rPr/>
        <w:t xml:space="preserve">Tato norma pracuje s 10 termíny ve vztahu s ERI. Některé z termínů již byly vysvětleny v extraktu první části toho souboru norem. </w:t>
      </w:r>
    </w:p>
    <w:p>
      <w:pPr>
        <w:pStyle w:val="Textnormy"/>
        <w:rPr>
          <w:spacing w:val="-2"/>
        </w:rPr>
      </w:pPr>
      <w:r>
        <w:rPr>
          <w:spacing w:val="-2"/>
        </w:rPr>
        <w:t xml:space="preserve">Další termíny a zkratky z oboru ITS jsou obsaženy ve slovníku ITS terminology.</w:t>
      </w:r>
    </w:p>
    <w:p>
      <w:pPr>
        <w:pStyle w:val="Textnormy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4 Symboly a zkratky</w:t>
      </w:r>
    </w:p>
    <w:p>
      <w:pPr>
        <w:pStyle w:val="Textnormy"/>
        <w:rPr/>
      </w:pPr>
      <w:r>
        <w:rPr/>
        <w:t>Tato norma pracuje s 10 termíny ve vztahu s ERI se zaměřením na syntax (ASN.1) a pojmenování zařízení pro elektronickou identifikaci vozidel (AEI/AVI).</w:t>
      </w:r>
    </w:p>
    <w:p>
      <w:pPr>
        <w:pStyle w:val="Textnormy"/>
        <w:rPr>
          <w:spacing w:val="-2"/>
        </w:rPr>
      </w:pPr>
      <w:r>
        <w:rPr>
          <w:spacing w:val="-2"/>
        </w:rPr>
        <w:t xml:space="preserve">Další termíny a zkratky z oboru ITS jsou obsaženy ve slovníku ITS terminology (www.ITSterminology.org).</w:t>
      </w:r>
    </w:p>
    <w:p>
      <w:pPr>
        <w:pStyle w:val="Textnormy"/>
        <w:rPr>
          <w:b/>
          <w:sz w:val="22"/>
          <w:szCs w:val="22"/>
        </w:rPr>
      </w:pPr>
      <w:r>
        <w:rPr>
          <w:b/>
          <w:sz w:val="22"/>
          <w:szCs w:val="22"/>
        </w:rPr>
        <w:t>5 Požadavky</w:t>
      </w:r>
    </w:p>
    <w:p>
      <w:pPr>
        <w:pStyle w:val="Textnormy"/>
        <w:rPr/>
      </w:pPr>
      <w:r>
        <w:rPr/>
        <w:t xml:space="preserve">V informativní části této kapitoly je zmíněn požadavek na jednoznačný identifikátor vozidla. Běžně se v této situaci používá VIN (vehicle identification number) proto souží jako základní identifikátor. Toto číslo ale není zcela unikátní a může se po30 letech opakovat, jsou známy případy nejednoznačnosti v databázích administrátorů, proto je zde navržena varianta kombinující VIN a kód registrační autority. Tato kombinace by měla být globálně jednoznačná.  </w:t>
      </w:r>
    </w:p>
    <w:p>
      <w:pPr>
        <w:pStyle w:val="Textnormy"/>
        <w:rPr/>
      </w:pPr>
      <w:r>
        <w:rPr/>
        <w:t>Tato norma zavádí také doplňková data, (většinou ta která jsou obsažena v osvědčení registraci vozidla), která mohou být použita pro „navýšení“ důvěryhodnosti identifikátoru vozidla či jako ověřené informace o vozidle pro použití dalšími aplikacemi.</w:t>
      </w:r>
    </w:p>
    <w:p>
      <w:pPr>
        <w:pStyle w:val="Textnormy"/>
        <w:rPr>
          <w:b/>
          <w:sz w:val="22"/>
          <w:szCs w:val="22"/>
        </w:rPr>
      </w:pPr>
      <w:r>
        <w:rPr>
          <w:b/>
          <w:sz w:val="22"/>
          <w:szCs w:val="22"/>
        </w:rPr>
        <w:t>5.2 Identifikátor vozidla</w:t>
      </w:r>
    </w:p>
    <w:p>
      <w:pPr>
        <w:pStyle w:val="Textnormy"/>
        <w:rPr/>
      </w:pPr>
      <w:r>
        <w:rPr/>
        <w:t>Datový prvek „</w:t>
      </w:r>
      <w:r>
        <w:rPr>
          <w:rFonts w:cs="Courier New" w:ascii="Courier New" w:hAnsi="Courier New"/>
          <w:i/>
        </w:rPr>
        <w:t>VehicleId</w:t>
      </w:r>
      <w:r>
        <w:rPr/>
        <w:t xml:space="preserve">“ </w:t>
      </w:r>
      <w:r>
        <w:rPr>
          <w:u w:val="single"/>
        </w:rPr>
        <w:t>musí</w:t>
      </w:r>
      <w:r>
        <w:rPr/>
        <w:t xml:space="preserve"> být použit pro identifikaci vozidla, jeho definice dle ASN.1 je uvedena na následujícím schématu, ze kterého je zřejmé, že tento datový element může nabývat dvou tvarů. Prvním z nich je samotné VIN odpovídající kódovému schématu CS5, tak jak je stanoveno v normě ISO 14816. Druhým je specifický identifikátor složený z identifikátoru výrobce WMI a jednoznačného (ale blíže nespecifikovaného), řetězce znaků. Norma říká, že tento druhý identifikátor musí být jednoznačný, ale nestanovuje ani jeho strukturu ani jak toho docílit.</w:t>
      </w:r>
    </w:p>
    <w:p>
      <w:pPr>
        <w:pStyle w:val="Textnormy"/>
        <w:rPr/>
      </w:pPr>
      <w:r>
        <w:rPr/>
        <w:drawing>
          <wp:inline distT="0" distB="0" distL="0" distR="0">
            <wp:extent cx="5749925" cy="962025"/>
            <wp:effectExtent l="0" t="0" r="0" b="0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3" t="-18" r="-3" b="-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9925" cy="962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adpisTabObr"/>
        <w:rPr/>
      </w:pPr>
      <w:r>
        <w:rPr/>
        <w:t>Obrázek 1 – ASN.1 definice jednoznačného identifikátoru vozidla „</w:t>
      </w:r>
      <w:r>
        <w:rPr>
          <w:rFonts w:cs="Courier New" w:ascii="Courier New" w:hAnsi="Courier New"/>
          <w:i/>
        </w:rPr>
        <w:t>VehicleId</w:t>
      </w:r>
      <w:r>
        <w:rPr/>
        <w:t xml:space="preserve">“ </w:t>
      </w:r>
    </w:p>
    <w:p>
      <w:pPr>
        <w:pStyle w:val="Textnormy"/>
        <w:rPr/>
      </w:pPr>
      <w:r>
        <w:rPr/>
        <w:t xml:space="preserve">V poznámce norma uvádí, že při čtení identifikátoru vozidla externím zařízením z tagu elektronické registrace ERT se vždy předávají také identifikátor registrační autority a jednoznačný kód ERT. Tyto kódy pak „prý“ (není řečeno jak) použity pro rozhodnutí potenciálních pří o VIN vozidla.  </w:t>
      </w:r>
    </w:p>
    <w:p>
      <w:pPr>
        <w:pStyle w:val="Textnormy"/>
        <w:rPr>
          <w:b/>
          <w:sz w:val="22"/>
          <w:szCs w:val="22"/>
        </w:rPr>
      </w:pPr>
      <w:r>
        <w:rPr>
          <w:b/>
          <w:sz w:val="22"/>
          <w:szCs w:val="22"/>
        </w:rPr>
        <w:t>5.3 Datový typ ERI</w:t>
      </w:r>
    </w:p>
    <w:p>
      <w:pPr>
        <w:pStyle w:val="Textnormy"/>
        <w:rPr/>
      </w:pPr>
      <w:r>
        <w:rPr/>
        <w:t>Datový prvek „</w:t>
      </w:r>
      <w:r>
        <w:rPr>
          <w:rFonts w:cs="Courier New" w:ascii="Courier New" w:hAnsi="Courier New"/>
          <w:i/>
        </w:rPr>
        <w:t>EriData</w:t>
      </w:r>
      <w:r>
        <w:rPr/>
        <w:t xml:space="preserve">“ </w:t>
      </w:r>
      <w:r>
        <w:rPr>
          <w:u w:val="single"/>
        </w:rPr>
        <w:t>musí</w:t>
      </w:r>
      <w:r>
        <w:rPr/>
        <w:t xml:space="preserve"> být data ERI. Norma uvádí sekvenci, dle ASN.1 identifikátoru vozidla „</w:t>
      </w:r>
      <w:r>
        <w:rPr>
          <w:rFonts w:cs="Courier New" w:ascii="Courier New" w:hAnsi="Courier New"/>
          <w:i/>
        </w:rPr>
        <w:t>VehicleId“</w:t>
      </w:r>
      <w:r>
        <w:rPr/>
        <w:t xml:space="preserve"> a volitelné struktury doplňkových dat o vozidle „</w:t>
      </w:r>
      <w:r>
        <w:rPr>
          <w:rFonts w:cs="Courier New" w:ascii="Courier New" w:hAnsi="Courier New"/>
          <w:i/>
        </w:rPr>
        <w:t>additionallEriData“</w:t>
      </w:r>
      <w:r>
        <w:rPr/>
        <w:t>.</w:t>
      </w:r>
    </w:p>
    <w:p>
      <w:pPr>
        <w:pStyle w:val="Textnormy"/>
        <w:jc w:val="center"/>
        <w:rPr/>
      </w:pPr>
      <w:r>
        <w:rPr/>
        <w:drawing>
          <wp:inline distT="0" distB="0" distL="0" distR="0">
            <wp:extent cx="5539105" cy="543560"/>
            <wp:effectExtent l="0" t="0" r="0" b="0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3" t="-30" r="-3" b="-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9105" cy="543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adpisTabObr"/>
        <w:rPr/>
      </w:pPr>
      <w:r>
        <w:rPr/>
        <w:t>Obrázek 2 – ASN.1 definice datové struktury používané v ERI nejen pro identifikaci vozidla</w:t>
      </w:r>
    </w:p>
    <w:p>
      <w:pPr>
        <w:pStyle w:val="Textnormy"/>
        <w:rPr>
          <w:b/>
          <w:sz w:val="22"/>
          <w:szCs w:val="22"/>
        </w:rPr>
      </w:pPr>
      <w:r>
        <w:rPr>
          <w:b/>
          <w:sz w:val="22"/>
          <w:szCs w:val="22"/>
        </w:rPr>
        <w:t>5.4 Datový typ doplňková data ERI</w:t>
      </w:r>
    </w:p>
    <w:p>
      <w:pPr>
        <w:pStyle w:val="Textnormy"/>
        <w:rPr/>
      </w:pPr>
      <w:r>
        <w:rPr/>
        <w:t>Datový prvek „</w:t>
      </w:r>
      <w:r>
        <w:rPr>
          <w:rFonts w:cs="Courier New" w:ascii="Courier New" w:hAnsi="Courier New"/>
          <w:i/>
        </w:rPr>
        <w:t>AdditionalEriData</w:t>
      </w:r>
      <w:r>
        <w:rPr/>
        <w:t>“ je volitelný a stejně jako identifikátor vozidla „</w:t>
      </w:r>
      <w:r>
        <w:rPr>
          <w:rFonts w:cs="Courier New" w:ascii="Courier New" w:hAnsi="Courier New"/>
          <w:i/>
        </w:rPr>
        <w:t>VehicleId“</w:t>
      </w:r>
      <w:r>
        <w:rPr/>
        <w:t xml:space="preserve"> obsahuje volbu mezi v normě stanovenou strukturou doplňkových dat ERI o registraci a v normě nestanovenou, neznámou, strukturu omezenou pouze velikostí. Tato nestanovená struktura opět dává možnost k použití vlastních dat o vozidle a to pravděpodobně z důvodů zachování kompatibility s místě specifickými systémy.</w:t>
      </w:r>
    </w:p>
    <w:p>
      <w:pPr>
        <w:pStyle w:val="Textnormy"/>
        <w:rPr>
          <w:b/>
          <w:sz w:val="22"/>
          <w:szCs w:val="22"/>
        </w:rPr>
      </w:pPr>
      <w:r>
        <w:rPr>
          <w:b/>
          <w:sz w:val="22"/>
          <w:szCs w:val="22"/>
        </w:rPr>
        <w:t>5.5 Datový typ doplňková data ERI o registraci</w:t>
      </w:r>
    </w:p>
    <w:p>
      <w:pPr>
        <w:pStyle w:val="Textnormy"/>
        <w:rPr/>
      </w:pPr>
      <w:r>
        <w:rPr/>
        <w:t>Datový prvek „</w:t>
      </w:r>
      <w:r>
        <w:rPr>
          <w:rFonts w:cs="Courier New" w:ascii="Courier New" w:hAnsi="Courier New"/>
          <w:i/>
        </w:rPr>
        <w:t>AdditionalEriRegistrationData</w:t>
      </w:r>
      <w:r>
        <w:rPr/>
        <w:t>“ obsahuje sekvenci informací o vozidle tak jak jsou uvedeny v osvědčení o registraci. Všechny části datové struktury, která je (pouze, nikoliv strukturálně) logicky rozčleněna na:</w:t>
      </w:r>
    </w:p>
    <w:p>
      <w:pPr>
        <w:pStyle w:val="Textnormy"/>
        <w:numPr>
          <w:ilvl w:val="0"/>
          <w:numId w:val="5"/>
        </w:numPr>
        <w:rPr/>
      </w:pPr>
      <w:r>
        <w:rPr/>
        <w:t>administrativní údaje (registrační úřad, datum registrace, číslo karosérie, RZ, a další)</w:t>
      </w:r>
    </w:p>
    <w:p>
      <w:pPr>
        <w:pStyle w:val="Textnormy"/>
        <w:numPr>
          <w:ilvl w:val="0"/>
          <w:numId w:val="5"/>
        </w:numPr>
        <w:rPr/>
      </w:pPr>
      <w:r>
        <w:rPr/>
        <w:t>údaje o typu vozidla (model, typ, popis, barva, kategorie, a další)</w:t>
      </w:r>
    </w:p>
    <w:p>
      <w:pPr>
        <w:pStyle w:val="Textnormy"/>
        <w:numPr>
          <w:ilvl w:val="0"/>
          <w:numId w:val="5"/>
        </w:numPr>
        <w:rPr/>
      </w:pPr>
      <w:r>
        <w:rPr/>
        <w:t>údaje o tvaru vozidla (výška, šířka, délka, typ podle ISO 3833, a další)</w:t>
      </w:r>
    </w:p>
    <w:p>
      <w:pPr>
        <w:pStyle w:val="Textnormy"/>
        <w:numPr>
          <w:ilvl w:val="0"/>
          <w:numId w:val="5"/>
        </w:numPr>
        <w:rPr/>
      </w:pPr>
      <w:r>
        <w:rPr/>
        <w:t>údaje počtu pasažérů, os a váze a</w:t>
      </w:r>
    </w:p>
    <w:p>
      <w:pPr>
        <w:pStyle w:val="Textnormy"/>
        <w:numPr>
          <w:ilvl w:val="0"/>
          <w:numId w:val="5"/>
        </w:numPr>
        <w:rPr/>
      </w:pPr>
      <w:r>
        <w:rPr/>
        <w:t>parametry prostředí (emise, euro typ, hluk, a další) a</w:t>
      </w:r>
    </w:p>
    <w:p>
      <w:pPr>
        <w:pStyle w:val="Textnormy"/>
        <w:numPr>
          <w:ilvl w:val="0"/>
          <w:numId w:val="5"/>
        </w:numPr>
        <w:rPr/>
      </w:pPr>
      <w:r>
        <w:rPr/>
        <w:t>další nezatříděné údaje</w:t>
      </w:r>
    </w:p>
    <w:p>
      <w:pPr>
        <w:pStyle w:val="Textnormy"/>
        <w:rPr/>
      </w:pPr>
      <w:r>
        <w:rPr/>
        <w:t>jsou volitelné. Popis těchto údajů, jejich význam a hodnoty jakých mohou nabývat je uveden v další části této kapitoly. K zjednodušení interpretace nejčastěji používaných údajů jsou do této kapitoly začleněny stanovení z jiných odkazovaných norem. Pokud by, ale čtenář potřeboval podrobně „rozklíčovat“ všechny údaje uvedené v struktuře „</w:t>
      </w:r>
      <w:r>
        <w:rPr>
          <w:rFonts w:cs="Courier New" w:ascii="Courier New" w:hAnsi="Courier New"/>
          <w:i/>
        </w:rPr>
        <w:t xml:space="preserve">AdditionalEriRegistrationData“ </w:t>
      </w:r>
      <w:r>
        <w:rPr/>
        <w:t>musí použít i další normy.</w:t>
      </w:r>
      <w:r>
        <w:rPr>
          <w:rFonts w:cs="Courier New" w:ascii="Courier New" w:hAnsi="Courier New"/>
          <w:i/>
        </w:rPr>
        <w:t xml:space="preserve"> </w:t>
      </w:r>
    </w:p>
    <w:p>
      <w:pPr>
        <w:pStyle w:val="Textnormy"/>
        <w:rPr>
          <w:b/>
          <w:sz w:val="22"/>
          <w:szCs w:val="22"/>
        </w:rPr>
      </w:pPr>
      <w:r>
        <w:rPr>
          <w:b/>
          <w:sz w:val="22"/>
          <w:szCs w:val="22"/>
        </w:rPr>
        <w:t>5.6 Kódování</w:t>
      </w:r>
    </w:p>
    <w:p>
      <w:pPr>
        <w:pStyle w:val="Textnormy"/>
        <w:rPr/>
      </w:pPr>
      <w:r>
        <w:rPr/>
        <w:t xml:space="preserve">Při výměně informací mezi ERR a ERT musí být ERI data zakódována podle kanonických pravidel pro kódování (CANONICAL-PER) varianty ZAROVNANÉ, tak jak je stanoveno v ISO/IEC 8825-2. </w:t>
      </w:r>
    </w:p>
    <w:p>
      <w:pPr>
        <w:pStyle w:val="Textnormy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Dodatek A Modul ASN.1 </w:t>
      </w:r>
    </w:p>
    <w:p>
      <w:pPr>
        <w:pStyle w:val="Textnormy"/>
        <w:rPr/>
      </w:pPr>
      <w:r>
        <w:rPr/>
        <w:t>Tento normativní dodatek obsahuje všechny deklarace typů uvedené v této normě ve formě modulu ASN.1. Tato forma umožňuje snadný import struktury do softwarových nástrojů používaných pro vývoj, validaci a výrobu ERI systémů, (či v jiných normách jiných systémů). Požadavek na zahrnutí Modulu ASN.1 do každé normy je standardní.</w:t>
      </w:r>
    </w:p>
    <w:p>
      <w:pPr>
        <w:pStyle w:val="Textnormy"/>
        <w:rPr>
          <w:b/>
          <w:sz w:val="22"/>
          <w:szCs w:val="22"/>
        </w:rPr>
      </w:pPr>
      <w:r>
        <w:rPr>
          <w:b/>
          <w:sz w:val="22"/>
          <w:szCs w:val="22"/>
        </w:rPr>
        <w:t>Dodatek B Propojení dat ERI a požadavků „lokální“ registrace</w:t>
      </w:r>
    </w:p>
    <w:p>
      <w:pPr>
        <w:pStyle w:val="Textnormy"/>
        <w:rPr/>
      </w:pPr>
      <w:r>
        <w:rPr/>
        <w:t xml:space="preserve">Tento informativní dodatek ukazuje mapování mezi daty ERI a ustanovením pro osvědčení o registraci vozidel na dvou konkrétních případech z EU a Japonska. Jedná se o mapování (harmonizaci) dvou datových struktur. </w:t>
      </w:r>
    </w:p>
    <w:p>
      <w:pPr>
        <w:pStyle w:val="Textnormy"/>
        <w:rPr/>
      </w:pPr>
      <w:r>
        <w:rPr/>
        <w:t>Například pod harmonizovaným kódem D. 1, evropského osvědčení o registraci vozidel, se nachází datový prvek „</w:t>
      </w:r>
      <w:r>
        <w:rPr>
          <w:rFonts w:cs="Courier New" w:ascii="Courier New" w:hAnsi="Courier New"/>
          <w:i/>
        </w:rPr>
        <w:t>Make</w:t>
      </w:r>
      <w:r>
        <w:rPr/>
        <w:t>“, který odpovídá datovému prvku „</w:t>
      </w:r>
      <w:r>
        <w:rPr>
          <w:rFonts w:cs="Courier New" w:ascii="Courier New" w:hAnsi="Courier New"/>
          <w:i/>
        </w:rPr>
        <w:t>vehicleMake</w:t>
      </w:r>
      <w:r>
        <w:rPr/>
        <w:t>“ ve struktuře ERI dat.</w:t>
      </w:r>
    </w:p>
    <w:p>
      <w:pPr>
        <w:pStyle w:val="Textnormy"/>
        <w:rPr/>
      </w:pPr>
      <w:r>
        <w:rPr/>
      </w:r>
    </w:p>
    <w:p>
      <w:pPr>
        <w:pStyle w:val="Textnormy"/>
        <w:rPr/>
      </w:pPr>
      <w:r>
        <w:rPr/>
        <w:t xml:space="preserve"> </w:t>
      </w:r>
    </w:p>
    <w:p>
      <w:pPr>
        <w:pStyle w:val="Textnormy"/>
        <w:rPr/>
      </w:pPr>
      <w:r>
        <w:rPr/>
      </w:r>
    </w:p>
    <w:p>
      <w:pPr>
        <w:pStyle w:val="Textnormy"/>
        <w:spacing w:before="0" w:after="120"/>
        <w:rPr/>
      </w:pPr>
      <w:r>
        <w:rPr/>
      </w:r>
    </w:p>
    <w:sectPr>
      <w:footerReference w:type="default" r:id="rId4"/>
      <w:type w:val="nextPage"/>
      <w:pgSz w:w="11906" w:h="16838"/>
      <w:pgMar w:left="1417" w:right="1417" w:gutter="0" w:header="0" w:top="1417" w:footer="708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ee" w:characterSet="windows-1250"/>
    <w:family w:val="swiss"/>
    <w:pitch w:val="variable"/>
  </w:font>
  <w:font w:name="Cambria">
    <w:charset w:val="ee" w:characterSet="windows-1250"/>
    <w:family w:val="roman"/>
    <w:pitch w:val="variable"/>
  </w:font>
  <w:font w:name="Wingdings">
    <w:charset w:val="02"/>
    <w:family w:val="auto"/>
    <w:pitch w:val="variable"/>
  </w:font>
  <w:font w:name="Wingdings 2">
    <w:charset w:val="02"/>
    <w:family w:val="roman"/>
    <w:pitch w:val="variable"/>
  </w:font>
  <w:font w:name="StarSymbol">
    <w:altName w:val="Arial Unicode MS"/>
    <w:charset w:val="ee" w:characterSet="windows-1250"/>
    <w:family w:val="auto"/>
    <w:pitch w:val="default"/>
  </w:font>
  <w:font w:name="Courier New">
    <w:charset w:val="ee" w:characterSet="windows-1250"/>
    <w:family w:val="modern"/>
    <w:pitch w:val="default"/>
  </w:font>
  <w:font w:name="Liberation Sans">
    <w:altName w:val="Arial"/>
    <w:charset w:val="01" w:characterSet="utf-8"/>
    <w:family w:val="swiss"/>
    <w:pitch w:val="variable"/>
  </w:font>
  <w:font w:name="Times New Roman">
    <w:charset w:val="ee" w:characterSet="windows-1250"/>
    <w:family w:val="roman"/>
    <w:pitch w:val="variable"/>
  </w:font>
  <w:font w:name="Tahoma">
    <w:charset w:val="ee" w:characterSet="windows-125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  <w:r>
      <mc:AlternateContent>
        <mc:Choice Requires="wps">
          <w:drawing>
            <wp:anchor distT="0" distB="0" distL="0" distR="0" simplePos="0" relativeHeight="6" behindDoc="0" locked="0" layoutInCell="0" allowOverlap="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71120" cy="146050"/>
              <wp:effectExtent l="0" t="0" r="0" b="0"/>
              <wp:wrapSquare wrapText="bothSides"/>
              <wp:docPr id="3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1120" cy="14605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3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5.6pt;height:11.5pt;mso-wrap-distance-left:0pt;mso-wrap-distance-right:0pt;mso-wrap-distance-top:0pt;mso-wrap-distance-bottom:0pt;margin-top:0.05pt;mso-position-vertical-relative:text;margin-left:224pt;mso-position-horizontal:center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3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–"/>
      <w:lvlJc w:val="start"/>
      <w:pPr>
        <w:tabs>
          <w:tab w:val="num" w:pos="360"/>
        </w:tabs>
        <w:ind w:start="283" w:hanging="283"/>
      </w:pPr>
      <w:rPr>
        <w:rFonts w:ascii="Arial" w:hAnsi="Arial" w:cs="Aria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283"/>
        </w:tabs>
        <w:ind w:start="283" w:hanging="283"/>
      </w:p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0"/>
        </w:tabs>
        <w:ind w:start="780" w:hanging="360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Arial" w:hAnsi="Arial" w:eastAsia="Times New Roman" w:cs="Arial"/>
      <w:color w:val="auto"/>
      <w:sz w:val="20"/>
      <w:szCs w:val="20"/>
      <w:lang w:val="cs-CZ" w:bidi="ar-SA" w:eastAsia="zh-CN"/>
    </w:rPr>
  </w:style>
  <w:style w:type="paragraph" w:styleId="Heading1">
    <w:name w:val="heading 1"/>
    <w:basedOn w:val="Normal"/>
    <w:next w:val="BodyText"/>
    <w:qFormat/>
    <w:pPr>
      <w:keepNext w:val="true"/>
      <w:widowControl w:val="false"/>
      <w:numPr>
        <w:ilvl w:val="0"/>
        <w:numId w:val="1"/>
      </w:numPr>
      <w:suppressAutoHyphens w:val="true"/>
      <w:spacing w:before="240" w:after="120"/>
      <w:jc w:val="both"/>
      <w:outlineLvl w:val="0"/>
    </w:pPr>
    <w:rPr>
      <w:rFonts w:eastAsia="Lucida Sans Unicode" w:cs="Tahoma"/>
      <w:b/>
      <w:bCs/>
      <w:kern w:val="2"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true"/>
      <w:spacing w:before="240" w:after="60"/>
      <w:outlineLvl w:val="1"/>
    </w:pPr>
    <w:rPr>
      <w:rFonts w:ascii="Cambria" w:hAnsi="Cambria" w:eastAsia="Times New Roman" w:cs="Times New Roman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true"/>
      <w:spacing w:before="240" w:after="60"/>
      <w:outlineLvl w:val="2"/>
    </w:pPr>
    <w:rPr>
      <w:rFonts w:cs="Arial"/>
      <w:b/>
      <w:bCs/>
      <w:sz w:val="26"/>
      <w:szCs w:val="26"/>
    </w:rPr>
  </w:style>
  <w:style w:type="character" w:styleId="WW8Num2z0">
    <w:name w:val="WW8Num2z0"/>
    <w:qFormat/>
    <w:rPr>
      <w:rFonts w:ascii="Wingdings" w:hAnsi="Wingdings" w:cs="StarSymbol;Times New Roman"/>
      <w:sz w:val="18"/>
      <w:szCs w:val="18"/>
    </w:rPr>
  </w:style>
  <w:style w:type="character" w:styleId="WW8Num2z1">
    <w:name w:val="WW8Num2z1"/>
    <w:qFormat/>
    <w:rPr>
      <w:rFonts w:ascii="Wingdings 2" w:hAnsi="Wingdings 2" w:cs="StarSymbol;Times New Roman"/>
      <w:sz w:val="18"/>
      <w:szCs w:val="18"/>
    </w:rPr>
  </w:style>
  <w:style w:type="character" w:styleId="WW8Num2z2">
    <w:name w:val="WW8Num2z2"/>
    <w:qFormat/>
    <w:rPr>
      <w:rFonts w:ascii="StarSymbol;Times New Roman" w:hAnsi="StarSymbol;Times New Roman" w:cs="StarSymbol;Times New Roman"/>
      <w:sz w:val="18"/>
      <w:szCs w:val="18"/>
    </w:rPr>
  </w:style>
  <w:style w:type="character" w:styleId="WW8Num3z0">
    <w:name w:val="WW8Num3z0"/>
    <w:qFormat/>
    <w:rPr>
      <w:rFonts w:ascii="Wingdings" w:hAnsi="Wingdings" w:cs="StarSymbol;Times New Roman"/>
      <w:sz w:val="18"/>
      <w:szCs w:val="18"/>
    </w:rPr>
  </w:style>
  <w:style w:type="character" w:styleId="WW8Num3z1">
    <w:name w:val="WW8Num3z1"/>
    <w:qFormat/>
    <w:rPr>
      <w:rFonts w:ascii="Wingdings 2" w:hAnsi="Wingdings 2" w:cs="StarSymbol;Times New Roman"/>
      <w:sz w:val="18"/>
      <w:szCs w:val="18"/>
    </w:rPr>
  </w:style>
  <w:style w:type="character" w:styleId="WW8Num3z2">
    <w:name w:val="WW8Num3z2"/>
    <w:qFormat/>
    <w:rPr>
      <w:rFonts w:ascii="StarSymbol;Times New Roman" w:hAnsi="StarSymbol;Times New Roman" w:cs="StarSymbol;Times New Roman"/>
      <w:sz w:val="18"/>
      <w:szCs w:val="18"/>
    </w:rPr>
  </w:style>
  <w:style w:type="character" w:styleId="WW8Num4z0">
    <w:name w:val="WW8Num4z0"/>
    <w:qFormat/>
    <w:rPr>
      <w:rFonts w:ascii="Arial" w:hAnsi="Arial" w:cs="Arial"/>
    </w:rPr>
  </w:style>
  <w:style w:type="character" w:styleId="WW8Num5z0">
    <w:name w:val="WW8Num5z0"/>
    <w:qFormat/>
    <w:rPr>
      <w:rFonts w:ascii="Symbol" w:hAnsi="Symbol" w:cs="Symbol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6z0">
    <w:name w:val="WW8Num6z0"/>
    <w:qFormat/>
    <w:rPr>
      <w:rFonts w:ascii="Symbol" w:hAnsi="Symbol" w:cs="Symbol"/>
    </w:rPr>
  </w:style>
  <w:style w:type="character" w:styleId="WW8Num6z1">
    <w:name w:val="WW8Num6z1"/>
    <w:qFormat/>
    <w:rPr>
      <w:rFonts w:ascii="Courier New" w:hAnsi="Courier New" w:cs="Courier New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7z0">
    <w:name w:val="WW8Num7z0"/>
    <w:qFormat/>
    <w:rPr>
      <w:rFonts w:ascii="Symbol" w:hAnsi="Symbol" w:cs="Symbol"/>
    </w:rPr>
  </w:style>
  <w:style w:type="character" w:styleId="WW8Num7z1">
    <w:name w:val="WW8Num7z1"/>
    <w:qFormat/>
    <w:rPr>
      <w:rFonts w:ascii="Courier New" w:hAnsi="Courier New" w:cs="Courier New"/>
    </w:rPr>
  </w:style>
  <w:style w:type="character" w:styleId="WW8Num7z2">
    <w:name w:val="WW8Num7z2"/>
    <w:qFormat/>
    <w:rPr>
      <w:rFonts w:ascii="Wingdings" w:hAnsi="Wingdings" w:cs="Wingdings"/>
    </w:rPr>
  </w:style>
  <w:style w:type="character" w:styleId="WW8Num8z0">
    <w:name w:val="WW8Num8z0"/>
    <w:qFormat/>
    <w:rPr>
      <w:rFonts w:ascii="Symbol" w:hAnsi="Symbol" w:cs="Symbol"/>
    </w:rPr>
  </w:style>
  <w:style w:type="character" w:styleId="WW8Num8z1">
    <w:name w:val="WW8Num8z1"/>
    <w:qFormat/>
    <w:rPr>
      <w:rFonts w:ascii="Courier New" w:hAnsi="Courier New" w:cs="Courier New"/>
    </w:rPr>
  </w:style>
  <w:style w:type="character" w:styleId="WW8Num8z2">
    <w:name w:val="WW8Num8z2"/>
    <w:qFormat/>
    <w:rPr>
      <w:rFonts w:ascii="Wingdings" w:hAnsi="Wingdings" w:cs="Wingdings"/>
    </w:rPr>
  </w:style>
  <w:style w:type="character" w:styleId="WW8Num10z0">
    <w:name w:val="WW8Num10z0"/>
    <w:qFormat/>
    <w:rPr>
      <w:rFonts w:ascii="Symbol" w:hAnsi="Symbol" w:cs="Symbol"/>
    </w:rPr>
  </w:style>
  <w:style w:type="character" w:styleId="WW8Num10z1">
    <w:name w:val="WW8Num10z1"/>
    <w:qFormat/>
    <w:rPr>
      <w:rFonts w:ascii="Courier New" w:hAnsi="Courier New" w:cs="Courier New"/>
    </w:rPr>
  </w:style>
  <w:style w:type="character" w:styleId="WW8Num10z2">
    <w:name w:val="WW8Num10z2"/>
    <w:qFormat/>
    <w:rPr>
      <w:rFonts w:ascii="Wingdings" w:hAnsi="Wingdings" w:cs="Wingdings"/>
    </w:rPr>
  </w:style>
  <w:style w:type="character" w:styleId="WW8Num11z0">
    <w:name w:val="WW8Num11z0"/>
    <w:qFormat/>
    <w:rPr>
      <w:rFonts w:ascii="Wingdings" w:hAnsi="Wingdings" w:cs="StarSymbol;Times New Roman"/>
      <w:sz w:val="18"/>
      <w:szCs w:val="18"/>
    </w:rPr>
  </w:style>
  <w:style w:type="character" w:styleId="WW8Num11z1">
    <w:name w:val="WW8Num11z1"/>
    <w:qFormat/>
    <w:rPr>
      <w:rFonts w:ascii="Wingdings 2" w:hAnsi="Wingdings 2" w:cs="StarSymbol;Times New Roman"/>
      <w:sz w:val="18"/>
      <w:szCs w:val="18"/>
    </w:rPr>
  </w:style>
  <w:style w:type="character" w:styleId="WW8Num11z2">
    <w:name w:val="WW8Num11z2"/>
    <w:qFormat/>
    <w:rPr>
      <w:rFonts w:ascii="StarSymbol;Times New Roman" w:hAnsi="StarSymbol;Times New Roman" w:cs="StarSymbol;Times New Roman"/>
      <w:sz w:val="18"/>
      <w:szCs w:val="18"/>
    </w:rPr>
  </w:style>
  <w:style w:type="character" w:styleId="WW8Num12z0">
    <w:name w:val="WW8Num12z0"/>
    <w:qFormat/>
    <w:rPr>
      <w:rFonts w:ascii="Arial" w:hAnsi="Arial" w:cs="Arial"/>
      <w:sz w:val="18"/>
      <w:szCs w:val="18"/>
    </w:rPr>
  </w:style>
  <w:style w:type="character" w:styleId="WW8Num12z1">
    <w:name w:val="WW8Num12z1"/>
    <w:qFormat/>
    <w:rPr>
      <w:rFonts w:ascii="Wingdings 2" w:hAnsi="Wingdings 2" w:cs="StarSymbol;Times New Roman"/>
      <w:sz w:val="18"/>
      <w:szCs w:val="18"/>
    </w:rPr>
  </w:style>
  <w:style w:type="character" w:styleId="WW8Num12z2">
    <w:name w:val="WW8Num12z2"/>
    <w:qFormat/>
    <w:rPr>
      <w:rFonts w:ascii="StarSymbol;Times New Roman" w:hAnsi="StarSymbol;Times New Roman" w:cs="StarSymbol;Times New Roman"/>
      <w:sz w:val="18"/>
      <w:szCs w:val="18"/>
    </w:rPr>
  </w:style>
  <w:style w:type="character" w:styleId="WW8Num12z3">
    <w:name w:val="WW8Num12z3"/>
    <w:qFormat/>
    <w:rPr>
      <w:rFonts w:ascii="Wingdings" w:hAnsi="Wingdings" w:cs="StarSymbol;Times New Roman"/>
      <w:sz w:val="18"/>
      <w:szCs w:val="18"/>
    </w:rPr>
  </w:style>
  <w:style w:type="character" w:styleId="WW8Num13z0">
    <w:name w:val="WW8Num13z0"/>
    <w:qFormat/>
    <w:rPr>
      <w:rFonts w:ascii="Arial" w:hAnsi="Arial" w:cs="Arial"/>
      <w:sz w:val="18"/>
      <w:szCs w:val="18"/>
    </w:rPr>
  </w:style>
  <w:style w:type="character" w:styleId="WW8Num13z1">
    <w:name w:val="WW8Num13z1"/>
    <w:qFormat/>
    <w:rPr>
      <w:rFonts w:ascii="Wingdings 2" w:hAnsi="Wingdings 2" w:cs="StarSymbol;Times New Roman"/>
      <w:sz w:val="18"/>
      <w:szCs w:val="18"/>
    </w:rPr>
  </w:style>
  <w:style w:type="character" w:styleId="WW8Num13z2">
    <w:name w:val="WW8Num13z2"/>
    <w:qFormat/>
    <w:rPr>
      <w:rFonts w:ascii="StarSymbol;Times New Roman" w:hAnsi="StarSymbol;Times New Roman" w:cs="StarSymbol;Times New Roman"/>
      <w:sz w:val="18"/>
      <w:szCs w:val="18"/>
    </w:rPr>
  </w:style>
  <w:style w:type="character" w:styleId="WW8Num13z3">
    <w:name w:val="WW8Num13z3"/>
    <w:qFormat/>
    <w:rPr>
      <w:rFonts w:ascii="Wingdings" w:hAnsi="Wingdings" w:cs="StarSymbol;Times New Roman"/>
      <w:sz w:val="18"/>
      <w:szCs w:val="18"/>
    </w:rPr>
  </w:style>
  <w:style w:type="character" w:styleId="WW8Num14z0">
    <w:name w:val="WW8Num14z0"/>
    <w:qFormat/>
    <w:rPr>
      <w:rFonts w:ascii="Symbol" w:hAnsi="Symbol" w:cs="Symbol"/>
    </w:rPr>
  </w:style>
  <w:style w:type="character" w:styleId="WW8Num14z1">
    <w:name w:val="WW8Num14z1"/>
    <w:qFormat/>
    <w:rPr>
      <w:rFonts w:ascii="Courier New" w:hAnsi="Courier New" w:cs="Courier New"/>
    </w:rPr>
  </w:style>
  <w:style w:type="character" w:styleId="WW8Num14z2">
    <w:name w:val="WW8Num14z2"/>
    <w:qFormat/>
    <w:rPr>
      <w:rFonts w:ascii="Wingdings" w:hAnsi="Wingdings" w:cs="Wingdings"/>
    </w:rPr>
  </w:style>
  <w:style w:type="character" w:styleId="WW8Num15z0">
    <w:name w:val="WW8Num15z0"/>
    <w:qFormat/>
    <w:rPr>
      <w:rFonts w:ascii="Symbol" w:hAnsi="Symbol" w:cs="Symbol"/>
    </w:rPr>
  </w:style>
  <w:style w:type="character" w:styleId="WW8Num15z1">
    <w:name w:val="WW8Num15z1"/>
    <w:qFormat/>
    <w:rPr>
      <w:rFonts w:ascii="Courier New" w:hAnsi="Courier New" w:cs="Courier New"/>
    </w:rPr>
  </w:style>
  <w:style w:type="character" w:styleId="WW8Num15z2">
    <w:name w:val="WW8Num15z2"/>
    <w:qFormat/>
    <w:rPr>
      <w:rFonts w:ascii="Wingdings" w:hAnsi="Wingdings" w:cs="Wingdings"/>
    </w:rPr>
  </w:style>
  <w:style w:type="character" w:styleId="Standardnpsmoodstavce">
    <w:name w:val="Standardní písmo odstavce"/>
    <w:qFormat/>
    <w:rPr/>
  </w:style>
  <w:style w:type="character" w:styleId="TextnormyChar1">
    <w:name w:val="Text normy Char1"/>
    <w:basedOn w:val="Standardnpsmoodstavce"/>
    <w:qFormat/>
    <w:rPr>
      <w:rFonts w:ascii="Arial" w:hAnsi="Arial" w:cs="Arial"/>
      <w:lang w:val="cs-CZ" w:bidi="ar-SA"/>
    </w:rPr>
  </w:style>
  <w:style w:type="character" w:styleId="Hyperlink">
    <w:name w:val="Hyperlink"/>
    <w:rPr>
      <w:color w:val="000080"/>
      <w:u w:val="single"/>
    </w:rPr>
  </w:style>
  <w:style w:type="character" w:styleId="PageNumber">
    <w:name w:val="page number"/>
    <w:basedOn w:val="Standardnpsmoodstavce"/>
    <w:rPr/>
  </w:style>
  <w:style w:type="character" w:styleId="Odkaznakoment">
    <w:name w:val="Odkaz na komentář"/>
    <w:basedOn w:val="Standardnpsmoodstavce"/>
    <w:qFormat/>
    <w:rPr>
      <w:sz w:val="16"/>
      <w:szCs w:val="16"/>
    </w:rPr>
  </w:style>
  <w:style w:type="character" w:styleId="Nadpis2Char">
    <w:name w:val="Nadpis 2 Char"/>
    <w:basedOn w:val="Standardnpsmoodstavce"/>
    <w:qFormat/>
    <w:rPr>
      <w:rFonts w:ascii="Cambria" w:hAnsi="Cambria" w:eastAsia="Times New Roman" w:cs="Times New Roman"/>
      <w:b/>
      <w:bCs/>
      <w:i/>
      <w:iCs/>
      <w:sz w:val="28"/>
      <w:szCs w:val="28"/>
    </w:rPr>
  </w:style>
  <w:style w:type="character" w:styleId="TextkomenteChar">
    <w:name w:val="Text komentáře Char"/>
    <w:basedOn w:val="Standardnpsmoodstavce"/>
    <w:qFormat/>
    <w:rPr>
      <w:rFonts w:ascii="Arial" w:hAnsi="Arial" w:cs="Arial"/>
    </w:rPr>
  </w:style>
  <w:style w:type="character" w:styleId="PedmtkomenteChar">
    <w:name w:val="Předmět komentáře Char"/>
    <w:basedOn w:val="TextkomenteChar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DejaVu Sans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DejaVu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ejaVu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DejaVu Sans"/>
    </w:rPr>
  </w:style>
  <w:style w:type="paragraph" w:styleId="Textnormy">
    <w:name w:val="Text normy"/>
    <w:qFormat/>
    <w:pPr>
      <w:widowControl/>
      <w:bidi w:val="0"/>
      <w:spacing w:before="0" w:after="120"/>
      <w:jc w:val="both"/>
    </w:pPr>
    <w:rPr>
      <w:rFonts w:ascii="Arial" w:hAnsi="Arial" w:eastAsia="Times New Roman" w:cs="Arial"/>
      <w:color w:val="auto"/>
      <w:sz w:val="20"/>
      <w:szCs w:val="20"/>
      <w:lang w:val="cs-CZ" w:bidi="ar-SA" w:eastAsia="zh-CN"/>
    </w:rPr>
  </w:style>
  <w:style w:type="paragraph" w:styleId="Nadpislnku">
    <w:name w:val="Nadpis článku"/>
    <w:basedOn w:val="Textnormy"/>
    <w:next w:val="Textnormy"/>
    <w:qFormat/>
    <w:pPr>
      <w:keepNext w:val="true"/>
      <w:keepLines/>
      <w:suppressAutoHyphens w:val="true"/>
      <w:spacing w:before="120" w:after="120"/>
      <w:jc w:val="start"/>
    </w:pPr>
    <w:rPr>
      <w:b/>
    </w:rPr>
  </w:style>
  <w:style w:type="paragraph" w:styleId="1StrTrZn">
    <w:name w:val="1StrTrZn"/>
    <w:basedOn w:val="Textnormy"/>
    <w:qFormat/>
    <w:pPr>
      <w:spacing w:lineRule="exact" w:line="340" w:before="80" w:after="80"/>
      <w:jc w:val="start"/>
    </w:pPr>
    <w:rPr>
      <w:sz w:val="28"/>
    </w:rPr>
  </w:style>
  <w:style w:type="paragraph" w:styleId="1StrNN-1-23">
    <w:name w:val="1StrNN-1-23"/>
    <w:basedOn w:val="Textnormy"/>
    <w:qFormat/>
    <w:pPr>
      <w:widowControl w:val="false"/>
      <w:suppressAutoHyphens w:val="true"/>
      <w:spacing w:lineRule="exact" w:line="340" w:before="640" w:after="0"/>
      <w:ind w:hanging="0" w:start="0" w:end="567"/>
      <w:jc w:val="start"/>
    </w:pPr>
    <w:rPr>
      <w:b/>
      <w:sz w:val="28"/>
    </w:rPr>
  </w:style>
  <w:style w:type="paragraph" w:styleId="Cizojazynnzev">
    <w:name w:val="Cizojazyčný název"/>
    <w:basedOn w:val="Textnormy"/>
    <w:qFormat/>
    <w:pPr>
      <w:widowControl w:val="false"/>
      <w:suppressAutoHyphens w:val="true"/>
      <w:jc w:val="start"/>
    </w:pPr>
    <w:rPr>
      <w:sz w:val="18"/>
    </w:rPr>
  </w:style>
  <w:style w:type="paragraph" w:styleId="Shodnost">
    <w:name w:val="Shodnost"/>
    <w:basedOn w:val="Textnormy"/>
    <w:next w:val="Textnormy"/>
    <w:qFormat/>
    <w:pPr>
      <w:keepNext w:val="true"/>
      <w:keepLines/>
      <w:tabs>
        <w:tab w:val="clear" w:pos="708"/>
        <w:tab w:val="right" w:pos="9923" w:leader="none"/>
      </w:tabs>
      <w:spacing w:before="240" w:after="360"/>
      <w:jc w:val="start"/>
    </w:pPr>
    <w:rPr>
      <w:sz w:val="28"/>
    </w:rPr>
  </w:style>
  <w:style w:type="paragraph" w:styleId="1Str1Rad">
    <w:name w:val="1Str1Rad"/>
    <w:basedOn w:val="Textnormy"/>
    <w:qFormat/>
    <w:pPr>
      <w:widowControl w:val="false"/>
      <w:tabs>
        <w:tab w:val="clear" w:pos="708"/>
        <w:tab w:val="left" w:pos="7371" w:leader="none"/>
        <w:tab w:val="right" w:pos="9866" w:leader="none"/>
      </w:tabs>
    </w:pPr>
    <w:rPr/>
  </w:style>
  <w:style w:type="paragraph" w:styleId="esknorma">
    <w:name w:val="Česká norma"/>
    <w:basedOn w:val="Textnormy"/>
    <w:next w:val="1Str1Rad"/>
    <w:qFormat/>
    <w:pPr>
      <w:spacing w:before="0" w:after="0"/>
      <w:jc w:val="start"/>
    </w:pPr>
    <w:rPr>
      <w:sz w:val="28"/>
    </w:rPr>
  </w:style>
  <w:style w:type="paragraph" w:styleId="1StrCN">
    <w:name w:val="1StrCN"/>
    <w:basedOn w:val="Textnormy"/>
    <w:next w:val="1StrTrZn"/>
    <w:qFormat/>
    <w:pPr>
      <w:spacing w:lineRule="exact" w:line="340" w:before="180" w:after="0"/>
      <w:jc w:val="start"/>
    </w:pPr>
    <w:rPr>
      <w:b/>
      <w:sz w:val="32"/>
      <w:lang w:val="en-US" w:eastAsia="en-US"/>
    </w:rPr>
  </w:style>
  <w:style w:type="paragraph" w:styleId="Tabulka">
    <w:name w:val="Tabulka"/>
    <w:basedOn w:val="Normal"/>
    <w:qFormat/>
    <w:pPr>
      <w:widowControl w:val="false"/>
      <w:suppressLineNumbers/>
      <w:suppressAutoHyphens w:val="true"/>
      <w:spacing w:before="120" w:after="120"/>
      <w:jc w:val="both"/>
    </w:pPr>
    <w:rPr>
      <w:rFonts w:ascii="Times New Roman" w:hAnsi="Times New Roman" w:eastAsia="Lucida Sans Unicode" w:cs="Tahoma"/>
      <w:i/>
      <w:iCs/>
      <w:kern w:val="2"/>
      <w:sz w:val="24"/>
      <w:szCs w:val="24"/>
    </w:rPr>
  </w:style>
  <w:style w:type="paragraph" w:styleId="Texttabulky">
    <w:name w:val="Text tabulky"/>
    <w:basedOn w:val="Textnormy"/>
    <w:qFormat/>
    <w:pPr>
      <w:suppressAutoHyphens w:val="true"/>
      <w:spacing w:before="60" w:after="60"/>
      <w:jc w:val="start"/>
    </w:pPr>
    <w:rPr>
      <w:rFonts w:eastAsia="Arial"/>
      <w:kern w:val="2"/>
      <w:sz w:val="18"/>
    </w:rPr>
  </w:style>
  <w:style w:type="paragraph" w:styleId="Ilustrace">
    <w:name w:val="Ilustrace"/>
    <w:basedOn w:val="Normal"/>
    <w:qFormat/>
    <w:pPr>
      <w:widowControl w:val="false"/>
      <w:suppressLineNumbers/>
      <w:suppressAutoHyphens w:val="true"/>
      <w:spacing w:before="120" w:after="120"/>
      <w:jc w:val="both"/>
    </w:pPr>
    <w:rPr>
      <w:rFonts w:ascii="Times New Roman" w:hAnsi="Times New Roman" w:eastAsia="Lucida Sans Unicode" w:cs="Tahoma"/>
      <w:i/>
      <w:iCs/>
      <w:kern w:val="2"/>
      <w:sz w:val="24"/>
      <w:szCs w:val="24"/>
    </w:rPr>
  </w:style>
  <w:style w:type="paragraph" w:styleId="NadpisTabObr">
    <w:name w:val="NadpisTabObr"/>
    <w:basedOn w:val="Nadpislnku"/>
    <w:next w:val="Textnormy"/>
    <w:qFormat/>
    <w:pPr>
      <w:keepNext w:val="false"/>
      <w:jc w:val="center"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Textnormy"/>
    <w:pPr/>
    <w:rPr>
      <w:sz w:val="18"/>
    </w:rPr>
  </w:style>
  <w:style w:type="paragraph" w:styleId="Footer">
    <w:name w:val="footer"/>
    <w:basedOn w:val="Normal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Textkomente">
    <w:name w:val="Text komentáře"/>
    <w:basedOn w:val="Normal"/>
    <w:qFormat/>
    <w:pPr/>
    <w:rPr/>
  </w:style>
  <w:style w:type="paragraph" w:styleId="Textbubliny">
    <w:name w:val="Text bubliny"/>
    <w:basedOn w:val="Normal"/>
    <w:qFormat/>
    <w:pPr/>
    <w:rPr>
      <w:rFonts w:ascii="Tahoma" w:hAnsi="Tahoma" w:cs="Tahoma"/>
      <w:sz w:val="16"/>
      <w:szCs w:val="16"/>
    </w:rPr>
  </w:style>
  <w:style w:type="paragraph" w:styleId="Seznamvnorm">
    <w:name w:val="Seznam v normě"/>
    <w:basedOn w:val="Textnormy"/>
    <w:qFormat/>
    <w:pPr>
      <w:numPr>
        <w:ilvl w:val="0"/>
        <w:numId w:val="2"/>
      </w:numPr>
    </w:pPr>
    <w:rPr/>
  </w:style>
  <w:style w:type="paragraph" w:styleId="Poznmka">
    <w:name w:val="Poznámka"/>
    <w:basedOn w:val="Textnormy"/>
    <w:next w:val="Textnormy"/>
    <w:qFormat/>
    <w:pPr>
      <w:spacing w:before="80" w:after="200"/>
    </w:pPr>
    <w:rPr>
      <w:sz w:val="18"/>
    </w:rPr>
  </w:style>
  <w:style w:type="paragraph" w:styleId="slovanseznam">
    <w:name w:val="Číslovaný seznam"/>
    <w:basedOn w:val="Textnormy"/>
    <w:qFormat/>
    <w:pPr>
      <w:numPr>
        <w:ilvl w:val="0"/>
        <w:numId w:val="4"/>
      </w:numPr>
      <w:ind w:hanging="284" w:start="284" w:end="0"/>
    </w:pPr>
    <w:rPr/>
  </w:style>
  <w:style w:type="paragraph" w:styleId="Pedmtkomente">
    <w:name w:val="Předmět komentáře"/>
    <w:basedOn w:val="Textkomente"/>
    <w:next w:val="Textkomente"/>
    <w:qFormat/>
    <w:pPr/>
    <w:rPr>
      <w:b/>
      <w:bCs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emf"/><Relationship Id="rId3" Type="http://schemas.openxmlformats.org/officeDocument/2006/relationships/image" Target="media/image2.emf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387</TotalTime>
  <Application>LibreOffice/26.2.6.3$Linux_X86_64 LibreOffice_project/620$Build-3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2009-05-30T23:46:00Z</dcterms:created>
  <dc:creator>David Bárta</dc:creator>
  <dc:description/>
  <cp:keywords/>
  <dc:language>en-US</dc:language>
  <cp:lastModifiedBy>barta</cp:lastModifiedBy>
  <cp:lastPrinted>2008-08-26T00:25:00Z</cp:lastPrinted>
  <dcterms:modified xsi:type="dcterms:W3CDTF">2010-06-16T18:07:00Z</dcterms:modified>
  <cp:revision>36</cp:revision>
  <dc:subject/>
  <dc:title>ČESKÁ TECHNICKÁ NORMA</dc:title>
</cp:coreProperties>
</file>