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a cestovní informace – Šíření zpráv prostřednictvím stacionárních systémů nezávislých na médiích – Slovník grafických dat pro šíření informací před jízdou a za jízdy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 CEN TS 14823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01 8255</w:t>
            </w:r>
          </w:p>
        </w:tc>
      </w:tr>
    </w:tbl>
    <w:p>
      <w:pPr>
        <w:pStyle w:val="Shodnost"/>
        <w:tabs>
          <w:tab w:val="left" w:pos="7800" w:leader="none"/>
        </w:tabs>
        <w:rPr/>
      </w:pPr>
      <w:r>
        <w:rPr/>
        <w:tab/>
        <w:t>184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norma se pokouší sjednotit v celosvětovém měřítku označení svislého dopravního značení na pozemních komunikacích. Toto značení se v minulosti vyvíjelo ve větší či menší spolupráci zejména mezi sousedními zeměmi, ale nese v sobě i nezaměnitelný otisk osobitého vývoje národa a jeho kultury. Tato norma se snaží najít v každém piktogramu (grafickém návrhu značky) jeho podstatnou informaci a tu pasportizovat, tj. převést na celosvětový jednotný systém dopravního značení. Norma tedy bude důležitá v případech, kdy se bude jednat o projekty překračující rámec jedné země, konkrétně pro popis svislého dopravního značení na mezinárodních tazích nebo v rámci vypisování mezinárodních soutěží.</w:t>
      </w:r>
    </w:p>
    <w:p>
      <w:pPr>
        <w:pStyle w:val="Textnormy"/>
        <w:rPr/>
      </w:pPr>
      <w:r>
        <w:rPr/>
        <w:t>Snaha takto sjednotit popisy dopravního značení není nová. Všechny předchozí návrhy však byly před svým definitivním přijetím zamítnuty. Zřejmě z důvodu, že kódování dopravního značení zasahuje do řady zákonů, vyhlášek i norem, převážila obava z nákladů a zmatků, které by provázely tuto poměrně rozsáhlou změnu. Nynější podoba normy představuje technický návrh před závěrečným hlasováním.</w:t>
      </w:r>
    </w:p>
    <w:p>
      <w:pPr>
        <w:pStyle w:val="Textnormy"/>
        <w:rPr/>
      </w:pPr>
      <w:r>
        <w:rPr/>
        <w:t xml:space="preserve">Poměrně obsáhlý slovník grafických symbolů (piktogramů) vychází z velkého množství zdrojových pramenů – ponejvíce ze stávajícího svislého dopravního značení na pozemních komunikacích, zahrnující výstražné, zákazové, příkazové a informativní dopravní značky. V úvodu jsou uvedeny kategorie, které v této normě plně charakterizují každý piktogram: (plné jméno </w:t>
      </w:r>
      <w:r>
        <w:rPr>
          <w:b/>
        </w:rPr>
        <w:t>piktogramu</w:t>
      </w:r>
      <w:r>
        <w:rPr/>
        <w:t xml:space="preserve">, jeho </w:t>
      </w:r>
      <w:r>
        <w:rPr>
          <w:b/>
        </w:rPr>
        <w:t>definice</w:t>
      </w:r>
      <w:r>
        <w:rPr/>
        <w:t xml:space="preserve">, jeho </w:t>
      </w:r>
      <w:r>
        <w:rPr>
          <w:b/>
        </w:rPr>
        <w:t>kódové vyjádření</w:t>
      </w:r>
      <w:r>
        <w:rPr/>
        <w:t xml:space="preserve"> a nakonec </w:t>
      </w:r>
      <w:r>
        <w:rPr>
          <w:b/>
        </w:rPr>
        <w:t>jeho atributy</w:t>
      </w:r>
      <w:r>
        <w:rPr/>
        <w:t>).</w:t>
      </w:r>
    </w:p>
    <w:p>
      <w:pPr>
        <w:pStyle w:val="Textnormy"/>
        <w:rPr/>
      </w:pPr>
      <w:r>
        <w:rPr/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Termíny, definice a zkratky</w:t>
      </w:r>
    </w:p>
    <w:p>
      <w:pPr>
        <w:pStyle w:val="Textnormy"/>
        <w:rPr/>
      </w:pPr>
      <w:r>
        <w:rPr/>
        <w:t>Jak je z úvodu patrné, klíčové je v této normě vyjádření obsahu grafického symbolu konkrétním číselným kódem, který v množině značek musí být jedinečný. Pro základní kódování byla navržena následující struktura:</w: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1"/>
        <w:gridCol w:w="1021"/>
        <w:gridCol w:w="1025"/>
        <w:gridCol w:w="1025"/>
        <w:gridCol w:w="1018"/>
        <w:gridCol w:w="1018"/>
        <w:gridCol w:w="1019"/>
        <w:gridCol w:w="1075"/>
        <w:gridCol w:w="1066"/>
      </w:tblGrid>
      <w:tr>
        <w:trPr/>
        <w:tc>
          <w:tcPr>
            <w:tcW w:w="20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Data DE1 – kód země (</w:t>
            </w:r>
            <w:r>
              <w:rPr>
                <w:i/>
              </w:rPr>
              <w:t>Country Code)</w:t>
            </w:r>
          </w:p>
        </w:tc>
        <w:tc>
          <w:tcPr>
            <w:tcW w:w="20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DE2 – servisní kategorie (</w:t>
            </w:r>
            <w:r>
              <w:rPr>
                <w:i/>
              </w:rPr>
              <w:t>Service Category Code)</w:t>
            </w:r>
          </w:p>
        </w:tc>
        <w:tc>
          <w:tcPr>
            <w:tcW w:w="30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DE3 – kód piktogramu (</w:t>
            </w:r>
            <w:r>
              <w:rPr>
                <w:i/>
              </w:rPr>
              <w:t>Pictogram Category Code)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DE4 – indikátor atributu</w:t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Atributy</w:t>
            </w:r>
          </w:p>
        </w:tc>
      </w:tr>
      <w:tr>
        <w:trPr/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X8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X7</w:t>
            </w:r>
          </w:p>
        </w:tc>
        <w:tc>
          <w:tcPr>
            <w:tcW w:w="1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X6</w:t>
            </w:r>
          </w:p>
        </w:tc>
        <w:tc>
          <w:tcPr>
            <w:tcW w:w="1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X5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K4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X3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X2</w:t>
            </w:r>
          </w:p>
        </w:tc>
        <w:tc>
          <w:tcPr>
            <w:tcW w:w="1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/>
            </w:pPr>
            <w:r>
              <w:rPr/>
              <w:t>X1</w:t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napToGrid w:val="false"/>
              <w:spacing w:before="0" w:after="120"/>
              <w:rPr/>
            </w:pPr>
            <w:r>
              <w:rPr/>
            </w:r>
          </w:p>
        </w:tc>
      </w:tr>
    </w:tbl>
    <w:p>
      <w:pPr>
        <w:pStyle w:val="Textnormy"/>
        <w:rPr/>
      </w:pPr>
      <w:r>
        <w:rPr/>
      </w:r>
    </w:p>
    <w:p>
      <w:pPr>
        <w:pStyle w:val="Normal"/>
        <w:ind w:firstLine="12" w:end="0"/>
        <w:rPr>
          <w:rFonts w:cs="Arial"/>
          <w:b/>
          <w:lang w:bidi="zxx"/>
        </w:rPr>
      </w:pPr>
      <w:r>
        <w:rPr>
          <w:rFonts w:cs="Arial"/>
          <w:b/>
          <w:lang w:bidi="zxx"/>
        </w:rPr>
        <w:t>Kódovací pravidla:</w:t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b/>
          <w:lang w:bidi="zxx"/>
        </w:rPr>
        <w:t>X8 a X7</w:t>
      </w:r>
      <w:r>
        <w:rPr>
          <w:rFonts w:cs="Arial"/>
          <w:lang w:bidi="zxx"/>
        </w:rPr>
        <w:tab/>
        <w:br/>
        <w:t>Mohou nabývat hodnot od A do Z. Systém kódování konkrétních zemí používá normu ISO 3166 (která každou zemi vyjadřuje pomocí dvoupísmenového kódu).</w:t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b/>
          <w:lang w:bidi="zxx"/>
        </w:rPr>
        <w:t>X6 a X5</w:t>
        <w:tab/>
        <w:br/>
      </w:r>
      <w:r>
        <w:rPr>
          <w:rFonts w:cs="Arial"/>
          <w:lang w:bidi="zxx"/>
        </w:rPr>
        <w:t>Tyto pozice mohou nabývat hodnot od 1 do 9 a jsou přiřazovány dle následující tabulky:</w:t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lang w:bidi="zxx"/>
        </w:rPr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lang w:bidi="zxx"/>
        </w:rPr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lang w:bidi="zxx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3"/>
        <w:gridCol w:w="3231"/>
        <w:gridCol w:w="3924"/>
      </w:tblGrid>
      <w:tr>
        <w:trPr>
          <w:tblHeader w:val="true"/>
          <w:trHeight w:val="227" w:hRule="atLeast"/>
        </w:trPr>
        <w:tc>
          <w:tcPr>
            <w:tcW w:w="2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lang w:bidi="zxx"/>
              </w:rPr>
            </w:pPr>
            <w:r>
              <w:rPr>
                <w:rFonts w:cs="Arial"/>
                <w:b/>
                <w:lang w:bidi="zxx"/>
              </w:rPr>
              <w:t>X6</w:t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lang w:bidi="zxx"/>
              </w:rPr>
            </w:pPr>
            <w:r>
              <w:rPr>
                <w:rFonts w:cs="Arial"/>
                <w:b/>
                <w:lang w:bidi="zxx"/>
              </w:rPr>
              <w:t>X5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Hodnota a popis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lang w:bidi="zxx"/>
              </w:rPr>
            </w:pPr>
            <w:r>
              <w:rPr>
                <w:rFonts w:cs="Arial"/>
                <w:b/>
                <w:lang w:bidi="zxx"/>
              </w:rPr>
              <w:t>Kód skupiny značek</w:t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lang w:bidi="zxx"/>
              </w:rPr>
            </w:pPr>
            <w:r>
              <w:rPr>
                <w:rFonts w:cs="Arial"/>
                <w:b/>
                <w:lang w:bidi="zxx"/>
              </w:rPr>
              <w:t>Kód třídy značky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b/>
                <w:lang w:bidi="zxx"/>
              </w:rPr>
            </w:r>
          </w:p>
        </w:tc>
        <w:tc>
          <w:tcPr>
            <w:tcW w:w="32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1: Piktogramy dopravních značek</w:t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1: Výstražné značky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2: Zákazové a příkazové značky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3: Informativní značky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4: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2: Informační značky pro veřejnost</w:t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1: Informační značky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2: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3: Piktogramy klimatických podmínek a stavu vozovky</w:t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1: Vnější (atmosférické) podmínky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 xml:space="preserve">2: Stav vozovky </w:t>
            </w:r>
          </w:p>
        </w:tc>
      </w:tr>
      <w:tr>
        <w:trPr>
          <w:trHeight w:val="227" w:hRule="atLeast"/>
        </w:trPr>
        <w:tc>
          <w:tcPr>
            <w:tcW w:w="21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2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</w:r>
          </w:p>
        </w:tc>
        <w:tc>
          <w:tcPr>
            <w:tcW w:w="3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lang w:bidi="zxx"/>
              </w:rPr>
            </w:pPr>
            <w:r>
              <w:rPr>
                <w:rFonts w:cs="Arial"/>
                <w:lang w:bidi="zxx"/>
              </w:rPr>
              <w:t>3:</w:t>
            </w:r>
          </w:p>
        </w:tc>
      </w:tr>
    </w:tbl>
    <w:p>
      <w:pPr>
        <w:pStyle w:val="Normal"/>
        <w:ind w:firstLine="12" w:end="0"/>
        <w:rPr>
          <w:rFonts w:cs="Arial"/>
          <w:b/>
          <w:lang w:bidi="zxx"/>
        </w:rPr>
      </w:pPr>
      <w:r>
        <w:rPr>
          <w:rFonts w:cs="Arial"/>
          <w:b/>
          <w:lang w:bidi="zxx"/>
        </w:rPr>
      </w:r>
    </w:p>
    <w:p>
      <w:pPr>
        <w:pStyle w:val="Normal"/>
        <w:ind w:firstLine="12" w:end="0"/>
        <w:rPr>
          <w:rFonts w:cs="Arial"/>
          <w:lang w:bidi="zxx"/>
        </w:rPr>
      </w:pPr>
      <w:r>
        <w:rPr>
          <w:rFonts w:cs="Arial"/>
          <w:b/>
          <w:lang w:bidi="zxx"/>
        </w:rPr>
        <w:t>X4, X3 a X2</w:t>
        <w:tab/>
        <w:br/>
      </w:r>
      <w:r>
        <w:rPr>
          <w:rFonts w:cs="Arial"/>
          <w:lang w:bidi="zxx"/>
        </w:rPr>
        <w:t xml:space="preserve">Tyto pozice mohou nabývat hodnot od 1 do 9. Pro X4 platí složitější pravidla, závislá na tom, ve které skupině a třídě se daná značka nachází a v rámci tohoto článku je není třeba rozvádět. X3 a X4 jsou už jen jednotlivé indexy v dané skupině. </w:t>
      </w:r>
    </w:p>
    <w:p>
      <w:pPr>
        <w:pStyle w:val="Textnormy"/>
        <w:rPr/>
      </w:pPr>
      <w:r>
        <w:rPr>
          <w:rFonts w:cs="Arial"/>
          <w:b/>
          <w:lang w:bidi="zxx"/>
        </w:rPr>
        <w:t>X1</w:t>
        <w:tab/>
        <w:br/>
      </w:r>
      <w:r>
        <w:rPr>
          <w:rFonts w:cs="Arial"/>
          <w:lang w:bidi="zxx"/>
        </w:rPr>
        <w:t>Tato pozice může nabývat pouze dvou hodnot, a to 1 v případě, že kódování značky vyžaduje použití dalších doplňujících atributů. Jinak je na hodnotě 0.</w:t>
      </w:r>
    </w:p>
    <w:p>
      <w:pPr>
        <w:pStyle w:val="Textnormy"/>
        <w:rPr/>
      </w:pPr>
      <w:r>
        <w:rPr/>
        <w:t xml:space="preserve">Další termíny a zkratky z oboru ITS jsou obsaženy ve slovníku ITS terminology (www.ITSterminology.org).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A (informativní) </w:t>
      </w:r>
    </w:p>
    <w:p>
      <w:pPr>
        <w:pStyle w:val="Textnormy"/>
        <w:rPr/>
      </w:pPr>
      <w:r>
        <w:rPr/>
        <w:t xml:space="preserve">Příloha A se zabývá možnými atributy výstražných značek (servisní kategorie 11), zákazových a příkazových značek (kategorie 12) a informačních značek (kategorie 13). Společné atributy pro všechny tři kategorie jsou popsány v následující tabulce. V té je uvedeno ve sloupci Kód originální návěští, po kterém zpravidla následuje ještě doplňující údaj (kvantifikátor). </w: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48"/>
        <w:gridCol w:w="7140"/>
      </w:tblGrid>
      <w:tr>
        <w:trPr>
          <w:tblHeader w:val="true"/>
          <w:cantSplit/>
        </w:trPr>
        <w:tc>
          <w:tcPr>
            <w:tcW w:w="214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Kód</w:t>
            </w:r>
          </w:p>
        </w:tc>
        <w:tc>
          <w:tcPr>
            <w:tcW w:w="714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Význam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DTM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ate/</w:t>
            </w:r>
            <w:r>
              <w:rPr>
                <w:b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e/Period)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Indikuje datum /čas /periodu kdy je značka platná. Za tímto návěštím se dle okolností uvádějí další doplňující údaje (SYR – </w:t>
            </w:r>
            <w:r>
              <w:rPr>
                <w:i/>
                <w:sz w:val="18"/>
                <w:szCs w:val="18"/>
              </w:rPr>
              <w:t>Year (Start)</w:t>
            </w:r>
            <w:r>
              <w:rPr>
                <w:sz w:val="18"/>
                <w:szCs w:val="18"/>
              </w:rPr>
              <w:t xml:space="preserve">, EYR – </w:t>
            </w:r>
            <w:r>
              <w:rPr>
                <w:i/>
                <w:sz w:val="18"/>
                <w:szCs w:val="18"/>
              </w:rPr>
              <w:t>Year (End),</w:t>
            </w:r>
            <w:r>
              <w:rPr>
                <w:sz w:val="18"/>
                <w:szCs w:val="18"/>
              </w:rPr>
              <w:t xml:space="preserve"> SMD - </w:t>
            </w:r>
            <w:r>
              <w:rPr>
                <w:i/>
                <w:sz w:val="18"/>
                <w:szCs w:val="18"/>
              </w:rPr>
              <w:t>Month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&amp; Day (Start),</w:t>
            </w:r>
            <w:r>
              <w:rPr>
                <w:sz w:val="18"/>
                <w:szCs w:val="18"/>
              </w:rPr>
              <w:t xml:space="preserve"> EMD - </w:t>
            </w:r>
            <w:r>
              <w:rPr>
                <w:i/>
                <w:sz w:val="18"/>
                <w:szCs w:val="18"/>
              </w:rPr>
              <w:t>Month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&amp; Day (End),</w:t>
            </w:r>
            <w:r>
              <w:rPr>
                <w:sz w:val="18"/>
                <w:szCs w:val="18"/>
              </w:rPr>
              <w:t xml:space="preserve"> PMD – </w:t>
            </w:r>
            <w:r>
              <w:rPr>
                <w:i/>
                <w:sz w:val="18"/>
                <w:szCs w:val="18"/>
              </w:rPr>
              <w:t>Special Month &amp; Day,</w:t>
            </w:r>
            <w:r>
              <w:rPr>
                <w:sz w:val="18"/>
                <w:szCs w:val="18"/>
              </w:rPr>
              <w:t xml:space="preserve"> SHM – </w:t>
            </w:r>
            <w:r>
              <w:rPr>
                <w:i/>
                <w:sz w:val="18"/>
                <w:szCs w:val="18"/>
              </w:rPr>
              <w:t xml:space="preserve">Hours &amp; Minute (Start), </w:t>
            </w:r>
            <w:r>
              <w:rPr>
                <w:sz w:val="18"/>
                <w:szCs w:val="18"/>
              </w:rPr>
              <w:t xml:space="preserve">EHM – </w:t>
            </w:r>
            <w:r>
              <w:rPr>
                <w:i/>
                <w:sz w:val="18"/>
                <w:szCs w:val="18"/>
              </w:rPr>
              <w:t>Hours &amp; Minute (End)</w:t>
            </w:r>
            <w:r>
              <w:rPr>
                <w:sz w:val="18"/>
                <w:szCs w:val="18"/>
              </w:rPr>
              <w:t xml:space="preserve">, SDY – </w:t>
            </w:r>
            <w:r>
              <w:rPr>
                <w:i/>
                <w:sz w:val="18"/>
                <w:szCs w:val="18"/>
              </w:rPr>
              <w:t>Day of the week (Start)</w:t>
            </w:r>
            <w:r>
              <w:rPr>
                <w:sz w:val="18"/>
                <w:szCs w:val="18"/>
              </w:rPr>
              <w:t xml:space="preserve">, EDY – </w:t>
            </w:r>
            <w:r>
              <w:rPr>
                <w:i/>
                <w:sz w:val="18"/>
                <w:szCs w:val="18"/>
              </w:rPr>
              <w:t>Day of the week (End)</w:t>
            </w:r>
            <w:r>
              <w:rPr>
                <w:sz w:val="18"/>
                <w:szCs w:val="18"/>
              </w:rPr>
              <w:t xml:space="preserve"> a nakonec LHM – </w:t>
            </w:r>
            <w:r>
              <w:rPr>
                <w:i/>
                <w:sz w:val="18"/>
                <w:szCs w:val="18"/>
              </w:rPr>
              <w:t>Time limit (Hours &amp; Minute).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EDT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xception Status of </w:t>
            </w:r>
            <w:r>
              <w:rPr>
                <w:b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 /</w:t>
            </w:r>
            <w:r>
              <w:rPr>
                <w:b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 /Period)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Indikuje datum /čas /periodu kdy není značka platná. Doplňující údaje jsou shodné s předešlým řádkem.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SEC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Sec</w:t>
            </w:r>
            <w:r>
              <w:rPr>
                <w:sz w:val="18"/>
                <w:szCs w:val="18"/>
              </w:rPr>
              <w:t>tion)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Indikuje úsek cesty na kterém je značka platná. Z tohoto důvodu obsahuje tři doplňující údaje: Začátek platnosti spolu s údajem o délce – SPD – </w:t>
            </w:r>
            <w:r>
              <w:rPr>
                <w:i/>
                <w:sz w:val="18"/>
                <w:szCs w:val="18"/>
              </w:rPr>
              <w:t>Starting point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 xml:space="preserve">&amp; Length, </w:t>
            </w:r>
            <w:r>
              <w:rPr>
                <w:sz w:val="18"/>
                <w:szCs w:val="18"/>
              </w:rPr>
              <w:t>vzdálenost k začátku platnosti a délka úseku</w:t>
            </w:r>
            <w:r>
              <w:rPr>
                <w:i/>
                <w:sz w:val="18"/>
                <w:szCs w:val="18"/>
              </w:rPr>
              <w:t xml:space="preserve"> – ADL – Applicable distance &amp; Length a </w:t>
            </w:r>
            <w:r>
              <w:rPr>
                <w:sz w:val="18"/>
                <w:szCs w:val="18"/>
              </w:rPr>
              <w:t>konec platnosti</w:t>
            </w:r>
            <w:r>
              <w:rPr>
                <w:i/>
                <w:sz w:val="18"/>
                <w:szCs w:val="18"/>
              </w:rPr>
              <w:t xml:space="preserve"> - EPT – End point.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umber </w:t>
            </w:r>
            <w:r>
              <w:rPr>
                <w:b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b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anes)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Zobrazuje počet jízdních pruhů a čísla jízdních pruhů. Číslování je vzestupné zleva doprava ve směru jízdy. Počet jízdních pruhů je vyjádřen doplňujícím údajem LMX – </w:t>
            </w:r>
            <w:r>
              <w:rPr>
                <w:i/>
                <w:sz w:val="18"/>
                <w:szCs w:val="18"/>
              </w:rPr>
              <w:t>Lane maximum.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DFL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irectional </w:t>
            </w:r>
            <w:r>
              <w:rPr>
                <w:b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low of </w:t>
            </w:r>
            <w:r>
              <w:rPr>
                <w:b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ane)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Pomocí osmi údajů označuje směr dopravního proudu, a to od výlučně přímého - SDL – </w:t>
            </w:r>
            <w:r>
              <w:rPr>
                <w:i/>
                <w:sz w:val="18"/>
                <w:szCs w:val="18"/>
              </w:rPr>
              <w:t>Straight direction only</w:t>
            </w:r>
            <w:r>
              <w:rPr>
                <w:sz w:val="18"/>
                <w:szCs w:val="18"/>
              </w:rPr>
              <w:t xml:space="preserve"> přes SLT – </w:t>
            </w:r>
            <w:r>
              <w:rPr>
                <w:i/>
                <w:sz w:val="18"/>
                <w:szCs w:val="18"/>
              </w:rPr>
              <w:t>Straight and Left Turn Only</w:t>
            </w:r>
            <w:r>
              <w:rPr>
                <w:sz w:val="18"/>
                <w:szCs w:val="18"/>
              </w:rPr>
              <w:t xml:space="preserve">, SRT – </w:t>
            </w:r>
            <w:r>
              <w:rPr>
                <w:i/>
                <w:sz w:val="18"/>
                <w:szCs w:val="18"/>
              </w:rPr>
              <w:t>Straight and Right turn Only</w:t>
            </w:r>
            <w:r>
              <w:rPr>
                <w:sz w:val="18"/>
                <w:szCs w:val="18"/>
              </w:rPr>
              <w:t xml:space="preserve">, LTO – </w:t>
            </w:r>
            <w:r>
              <w:rPr>
                <w:i/>
                <w:sz w:val="18"/>
                <w:szCs w:val="18"/>
              </w:rPr>
              <w:t>Left Turn Only</w:t>
            </w:r>
            <w:r>
              <w:rPr>
                <w:sz w:val="18"/>
                <w:szCs w:val="18"/>
              </w:rPr>
              <w:t xml:space="preserve">, RTO – </w:t>
            </w:r>
            <w:r>
              <w:rPr>
                <w:i/>
                <w:sz w:val="18"/>
                <w:szCs w:val="18"/>
              </w:rPr>
              <w:t>Right Turn Only</w:t>
            </w:r>
            <w:r>
              <w:rPr>
                <w:sz w:val="18"/>
                <w:szCs w:val="18"/>
              </w:rPr>
              <w:t xml:space="preserve">, CLL – </w:t>
            </w:r>
            <w:r>
              <w:rPr>
                <w:i/>
                <w:sz w:val="18"/>
                <w:szCs w:val="18"/>
              </w:rPr>
              <w:t>Convergence from the Left Lane</w:t>
            </w:r>
            <w:r>
              <w:rPr>
                <w:sz w:val="18"/>
                <w:szCs w:val="18"/>
              </w:rPr>
              <w:t xml:space="preserve">, CRI – </w:t>
            </w:r>
            <w:r>
              <w:rPr>
                <w:i/>
                <w:sz w:val="18"/>
                <w:szCs w:val="18"/>
              </w:rPr>
              <w:t>Convergence from the Right Lane</w:t>
            </w:r>
            <w:r>
              <w:rPr>
                <w:sz w:val="18"/>
                <w:szCs w:val="18"/>
              </w:rPr>
              <w:t xml:space="preserve"> až po protijedoucí vozidla – OVL – </w:t>
            </w:r>
            <w:r>
              <w:rPr>
                <w:i/>
                <w:sz w:val="18"/>
                <w:szCs w:val="18"/>
              </w:rPr>
              <w:t>Oncoming Vehicles Lane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Ve</w:t>
            </w:r>
            <w:r>
              <w:rPr>
                <w:sz w:val="18"/>
                <w:szCs w:val="18"/>
              </w:rPr>
              <w:t xml:space="preserve">hicle </w:t>
            </w:r>
            <w:r>
              <w:rPr>
                <w:b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imension)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Tento atribut má též řadu doplňujících údajů: třída vozidla - VCL – </w:t>
            </w:r>
            <w:r>
              <w:rPr>
                <w:i/>
                <w:sz w:val="18"/>
                <w:szCs w:val="18"/>
              </w:rPr>
              <w:t>Vehicle class,</w:t>
            </w:r>
            <w:r>
              <w:rPr>
                <w:sz w:val="18"/>
                <w:szCs w:val="18"/>
              </w:rPr>
              <w:t xml:space="preserve"> výjimka z třídy vozidel - EXC – </w:t>
            </w:r>
            <w:r>
              <w:rPr>
                <w:i/>
                <w:sz w:val="18"/>
                <w:szCs w:val="18"/>
              </w:rPr>
              <w:t>Vehicle class exeption</w:t>
            </w:r>
            <w:r>
              <w:rPr>
                <w:sz w:val="18"/>
                <w:szCs w:val="18"/>
              </w:rPr>
              <w:t xml:space="preserve">, váha vozidla - HEI – </w:t>
            </w:r>
            <w:r>
              <w:rPr>
                <w:i/>
                <w:sz w:val="18"/>
                <w:szCs w:val="18"/>
              </w:rPr>
              <w:t>Vehicle Height</w:t>
            </w:r>
            <w:r>
              <w:rPr>
                <w:sz w:val="18"/>
                <w:szCs w:val="18"/>
              </w:rPr>
              <w:t xml:space="preserve">, šířka vozidla - WID – </w:t>
            </w:r>
            <w:r>
              <w:rPr>
                <w:i/>
                <w:sz w:val="18"/>
                <w:szCs w:val="18"/>
              </w:rPr>
              <w:t>Vehicle widht</w:t>
            </w:r>
            <w:r>
              <w:rPr>
                <w:sz w:val="18"/>
                <w:szCs w:val="18"/>
              </w:rPr>
              <w:t xml:space="preserve">, délka vozidla - WEI – </w:t>
            </w:r>
            <w:r>
              <w:rPr>
                <w:i/>
                <w:sz w:val="18"/>
                <w:szCs w:val="18"/>
              </w:rPr>
              <w:t>Vehicle weight</w:t>
            </w:r>
            <w:r>
              <w:rPr>
                <w:sz w:val="18"/>
                <w:szCs w:val="18"/>
              </w:rPr>
              <w:t xml:space="preserve"> a  nakonec délka vozidla - VLN – </w:t>
            </w:r>
            <w:r>
              <w:rPr>
                <w:i/>
                <w:sz w:val="18"/>
                <w:szCs w:val="18"/>
              </w:rPr>
              <w:t>Vehicle lenght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SPM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Sp</w:t>
            </w:r>
            <w:r>
              <w:rPr>
                <w:sz w:val="18"/>
                <w:szCs w:val="18"/>
              </w:rPr>
              <w:t>eed)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Udává rychlostní limit a následují dva číselné údaje: MXS – Maximum speed o maximální a MNS – Minimum speed - minimální rychlosti. Údaj o maximální povolené rychlosti musí být za tímto indikátorem uveden vždy, údaj o minimální povolené rychlosti může chybět (záleží na významu značky).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ate </w:t>
            </w:r>
            <w:r>
              <w:rPr>
                <w:b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f </w:t>
            </w:r>
            <w:r>
              <w:rPr>
                <w:b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ncline)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Udává v procentech sklon vozovky, která může stoupat – UHL – Uphill nebo klesat - DHL – Downhill.</w:t>
            </w:r>
          </w:p>
        </w:tc>
      </w:tr>
      <w:tr>
        <w:trPr/>
        <w:tc>
          <w:tcPr>
            <w:tcW w:w="2148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DVB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istance </w:t>
            </w:r>
            <w:r>
              <w:rPr>
                <w:b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etween </w:t>
            </w:r>
            <w:r>
              <w:rPr>
                <w:b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ehicles</w:t>
            </w:r>
          </w:p>
        </w:tc>
        <w:tc>
          <w:tcPr>
            <w:tcW w:w="7140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normy"/>
              <w:spacing w:before="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Udává vzdálenost mezi vozidly, následuje číselný údaj o této vzdálenosti - GAP – </w:t>
            </w:r>
            <w:r>
              <w:rPr>
                <w:i/>
                <w:sz w:val="18"/>
                <w:szCs w:val="18"/>
              </w:rPr>
              <w:t>Vehicular gap.</w:t>
            </w:r>
          </w:p>
        </w:tc>
      </w:tr>
    </w:tbl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B (informativní) </w:t>
      </w:r>
    </w:p>
    <w:p>
      <w:pPr>
        <w:pStyle w:val="Textnormy"/>
        <w:rPr/>
      </w:pPr>
      <w:r>
        <w:rPr/>
        <w:t>Příloha B (pouze informativní) je slovník grafických piktogramů. Jako nejnázornější příklad poslouží dva následující obrazové příklady (značka 11 111 má v české legislativě označení A3, značka 12 111 je B26):</w:t>
      </w:r>
    </w:p>
    <w:p>
      <w:pPr>
        <w:pStyle w:val="Textnormy"/>
        <w:rPr/>
      </w:pPr>
      <w:r>
        <w:rPr/>
        <w:drawing>
          <wp:inline distT="0" distB="0" distL="0" distR="0">
            <wp:extent cx="6109970" cy="2574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7" r="-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lang w:bidi="zxx"/>
        </w:rPr>
      </w:pPr>
      <w:r>
        <w:rPr>
          <w:lang w:bidi="zxx"/>
        </w:rPr>
      </w:r>
    </w:p>
    <w:p>
      <w:pPr>
        <w:pStyle w:val="BodyText"/>
        <w:rPr>
          <w:lang w:bidi="zxx"/>
        </w:rPr>
      </w:pPr>
      <w:r>
        <w:rPr>
          <w:lang w:bidi="zxx"/>
        </w:rPr>
        <w:drawing>
          <wp:inline distT="0" distB="0" distL="0" distR="0">
            <wp:extent cx="6109970" cy="17132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C (informativní) </w:t>
      </w:r>
    </w:p>
    <w:p>
      <w:pPr>
        <w:pStyle w:val="Textnormy"/>
        <w:rPr/>
      </w:pPr>
      <w:r>
        <w:rPr/>
        <w:t xml:space="preserve">Příloha C (opět pouze informativní) obsahuje příklady použití, je uveden jeden z mnoha. Tato značka používaná v Japonsku znamená, že v úseku platnosti této značky je povoleno v době od 08.00 do 20.00 parkovat po dobu 60 minut. Použité zkratky jsou uvedeny v tabulce přílohy B. </w:t>
      </w:r>
    </w:p>
    <w:p>
      <w:pPr>
        <w:pStyle w:val="BodyText"/>
        <w:rPr>
          <w:lang w:bidi="zxx"/>
        </w:rPr>
      </w:pPr>
      <w:r>
        <w:rPr>
          <w:lang w:bidi="zxx"/>
        </w:rPr>
        <w:drawing>
          <wp:inline distT="0" distB="0" distL="0" distR="0">
            <wp:extent cx="5788660" cy="25558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7" r="-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255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D (informativní) </w:t>
      </w:r>
    </w:p>
    <w:p>
      <w:pPr>
        <w:pStyle w:val="BodyText"/>
        <w:rPr/>
      </w:pPr>
      <w:r>
        <w:rPr/>
        <w:t xml:space="preserve">Příloha D se zabývá kódováním směru. Následující tabulka názorně ukazuje použití tohoto systému. Maximální hodnota ve sloupci </w:t>
      </w:r>
      <w:r>
        <w:rPr>
          <w:b/>
        </w:rPr>
        <w:t xml:space="preserve">Kód </w:t>
      </w:r>
      <w:r>
        <w:rPr/>
        <w:t>může</w:t>
      </w:r>
      <w:r>
        <w:rPr>
          <w:b/>
        </w:rPr>
        <w:t xml:space="preserve"> </w:t>
      </w:r>
      <w:r>
        <w:rPr/>
        <w:t xml:space="preserve">dosáhnout hodnoty 128, což znamená znázornění všech směrů po 45 stupních. </w:t>
      </w:r>
    </w:p>
    <w:p>
      <w:pPr>
        <w:pStyle w:val="BodyText"/>
        <w:rPr>
          <w:lang w:bidi="zxx"/>
        </w:rPr>
      </w:pPr>
      <w:r>
        <w:rPr/>
        <w:drawing>
          <wp:inline distT="0" distB="0" distL="0" distR="0">
            <wp:extent cx="6111240" cy="341757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1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lang w:bidi="zxx"/>
        </w:rPr>
      </w:pPr>
      <w:r>
        <w:rPr>
          <w:lang w:bidi="zxx"/>
        </w:rPr>
      </w:r>
    </w:p>
    <w:p>
      <w:pPr>
        <w:pStyle w:val="BodyText"/>
        <w:rPr>
          <w:lang w:bidi="zxx"/>
        </w:rPr>
      </w:pPr>
      <w:r>
        <w:rPr>
          <w:lang w:bidi="zxx"/>
        </w:rPr>
      </w:r>
    </w:p>
    <w:p>
      <w:pPr>
        <w:pStyle w:val="BodyText"/>
        <w:spacing w:before="0" w:after="120"/>
        <w:rPr/>
      </w:pPr>
      <w:r>
        <w:rPr>
          <w:lang w:bidi="zxx"/>
        </w:rPr>
      </w:r>
    </w:p>
    <w:sectPr>
      <w:footerReference w:type="default" r:id="rId6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MIFBNE+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StarSymbol;Times New Roman"/>
      <w:sz w:val="18"/>
      <w:szCs w:val="18"/>
    </w:rPr>
  </w:style>
  <w:style w:type="character" w:styleId="WW8Num11z1">
    <w:name w:val="WW8Num11z1"/>
    <w:qFormat/>
    <w:rPr>
      <w:rFonts w:ascii="Wingdings 2" w:hAnsi="Wingdings 2" w:cs="StarSymbol;Times New Roman"/>
      <w:sz w:val="18"/>
      <w:szCs w:val="18"/>
    </w:rPr>
  </w:style>
  <w:style w:type="character" w:styleId="WW8Num11z2">
    <w:name w:val="WW8Num11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Arial" w:hAnsi="Arial" w:cs="Arial"/>
      <w:sz w:val="18"/>
      <w:szCs w:val="18"/>
    </w:rPr>
  </w:style>
  <w:style w:type="character" w:styleId="WW8Num14z1">
    <w:name w:val="WW8Num14z1"/>
    <w:qFormat/>
    <w:rPr>
      <w:rFonts w:ascii="Wingdings 2" w:hAnsi="Wingdings 2" w:cs="StarSymbol;Times New Roman"/>
      <w:sz w:val="18"/>
      <w:szCs w:val="18"/>
    </w:rPr>
  </w:style>
  <w:style w:type="character" w:styleId="WW8Num14z2">
    <w:name w:val="WW8Num1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3">
    <w:name w:val="WW8Num14z3"/>
    <w:qFormat/>
    <w:rPr>
      <w:rFonts w:ascii="Wingdings" w:hAnsi="Wingdings" w:cs="StarSymbol;Times New Roman"/>
      <w:sz w:val="18"/>
      <w:szCs w:val="18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Arial" w:hAnsi="Arial" w:cs="Arial"/>
      <w:sz w:val="18"/>
      <w:szCs w:val="18"/>
    </w:rPr>
  </w:style>
  <w:style w:type="character" w:styleId="WW8Num16z1">
    <w:name w:val="WW8Num16z1"/>
    <w:qFormat/>
    <w:rPr>
      <w:rFonts w:ascii="Wingdings 2" w:hAnsi="Wingdings 2" w:cs="StarSymbol;Times New Roman"/>
      <w:sz w:val="18"/>
      <w:szCs w:val="18"/>
    </w:rPr>
  </w:style>
  <w:style w:type="character" w:styleId="WW8Num16z2">
    <w:name w:val="WW8Num16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6z3">
    <w:name w:val="WW8Num16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2"/>
      </w:numPr>
    </w:pPr>
    <w:rPr/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ecednseznam">
    <w:name w:val="Abecední seznam"/>
    <w:basedOn w:val="Textnormy"/>
    <w:qFormat/>
    <w:pPr>
      <w:numPr>
        <w:ilvl w:val="0"/>
        <w:numId w:val="3"/>
      </w:numPr>
      <w:tabs>
        <w:tab w:val="clear" w:pos="708"/>
      </w:tabs>
    </w:pPr>
    <w:rPr/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MIFBNE+Arial,Bold;Arial" w:hAnsi="MIFBNE+Arial,Bold;Arial" w:eastAsia="Times New Roman" w:cs="MIFBNE+Arial,Bold;Arial"/>
      <w:color w:val="000000"/>
      <w:sz w:val="24"/>
      <w:szCs w:val="24"/>
      <w:lang w:val="cs-CZ" w:bidi="ar-SA" w:eastAsia="zh-CN"/>
    </w:rPr>
  </w:style>
  <w:style w:type="paragraph" w:styleId="Odstavec">
    <w:name w:val="Odstavec"/>
    <w:basedOn w:val="Normal"/>
    <w:qFormat/>
    <w:pPr>
      <w:spacing w:before="120" w:after="0"/>
      <w:ind w:firstLine="284" w:start="0" w:end="0"/>
      <w:jc w:val="both"/>
    </w:pPr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2009-10-29T10:22:00Z</dcterms:created>
  <dc:creator>David Bárta</dc:creator>
  <dc:description/>
  <cp:keywords/>
  <dc:language>en-US</dc:language>
  <cp:lastModifiedBy>barta</cp:lastModifiedBy>
  <cp:lastPrinted>2008-10-21T12:33:00Z</cp:lastPrinted>
  <dcterms:modified xsi:type="dcterms:W3CDTF">2009-10-29T10:27:00Z</dcterms:modified>
  <cp:revision>3</cp:revision>
  <dc:subject/>
  <dc:title>ČESKÁ TECHNICKÁ NORMA</dc:title>
</cp:coreProperties>
</file>