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0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technické specifikace ISO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0"/>
          <w:trHeight w:val="17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v dopravním protokolu expertní skupiny, druhá generace (TPEG2) – Část 10: Informace o podmíněném přístupu</w:t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21219-10</w:t>
              <w:br w:type="textWrapping"/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01 8259</w:t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ageBreakBefore w:val="0"/>
        <w:tabs>
          <w:tab w:val="right" w:leader="none" w:pos="9923"/>
        </w:tabs>
        <w:spacing w:after="360" w:before="240" w:lineRule="auto"/>
        <w:jc w:val="right"/>
        <w:rPr>
          <w:sz w:val="28"/>
          <w:szCs w:val="28"/>
        </w:rPr>
      </w:pPr>
      <w:bookmarkStart w:colFirst="0" w:colLast="0" w:name="_gjdgxs" w:id="0"/>
      <w:bookmarkEnd w:id="0"/>
      <w:r>
        <w:rPr>
          <w:sz w:val="28"/>
          <w:szCs w:val="28"/>
          <w:rtl w:val="0"/>
        </w:rPr>
        <w:t xml:space="preserve">Vydána 2016, 7 stran</w:t>
      </w:r>
    </w:p>
    <w:p w:rsidR="00000000" w:rsidDel="00000000" w:rsidP="00000000" w:rsidRDefault="00000000" w:rsidRPr="00000000" w14:paraId="00000009">
      <w:pPr>
        <w:pStyle w:val="Heading1"/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000000" w:rsidDel="00000000" w:rsidP="00000000" w:rsidRDefault="00000000" w:rsidRPr="00000000" w14:paraId="0000000C">
      <w:pPr>
        <w:pageBreakBefore w:val="0"/>
        <w:spacing w:after="120" w:lineRule="auto"/>
        <w:jc w:val="both"/>
        <w:rPr/>
      </w:pPr>
      <w:r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000000" w:rsidDel="00000000" w:rsidP="00000000" w:rsidRDefault="00000000" w:rsidRPr="00000000" w14:paraId="0000000D">
      <w:pPr>
        <w:pageBreakBefore w:val="0"/>
        <w:spacing w:after="120" w:lineRule="auto"/>
        <w:jc w:val="both"/>
        <w:rPr/>
      </w:pPr>
      <w:r>
        <w:rPr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14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000000" w:rsidDel="00000000" w:rsidP="00000000" w:rsidRDefault="00000000" w:rsidRPr="00000000" w14:paraId="00000015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extrakt (dále jen “popisovaný dokument”) popisuje část 10 normy TPEG, která specifikuje obálku komponenty CAI a popisuje vhodnost linkování komponent CAI se zašifrovaným obsahem v jiných komponentách služby.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7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8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Části přenášených informací mohou být zašifrovány a tím podmíněně zpřístupněné pouze odběratelům vlastnícím dešifrovací klíč. Tato část se zabývá poskytnutím informací o tom, které části služby jsou nějakým způsobem zašifrovány (a tím podmíněně přístupné).</w:t>
      </w:r>
    </w:p>
    <w:p w:rsidR="00000000" w:rsidDel="00000000" w:rsidP="00000000" w:rsidRDefault="00000000" w:rsidRPr="00000000" w14:paraId="0000001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stanovuje obálku pro informace o podmíněném přístupu. Obálka je v rámci služby přenášena současně s ostatními komponentami služby a informuje o zašifrovaných komponentách. Dokument odkazuje na TPEG2-SNI a TPEG2-SWF, které stanovují, jak mají vypadat zašifrované komponenty služby a jak na ně odkazovat. Konkrétní struktura kontejneru aplikace CAI není v tomto dokumentu stanovena.</w:t>
      </w:r>
    </w:p>
    <w:p w:rsidR="00000000" w:rsidDel="00000000" w:rsidP="00000000" w:rsidRDefault="00000000" w:rsidRPr="00000000" w14:paraId="0000001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je vhodný pro programátory a tvůrce zašifrovaných služeb, které informuje o způsobu předávání informací o podmíněném přístupu (zašifrovaných částech služby). Pro samotnou implementaci podmíněného přístupu nestačí, zde jsou potřeba další normy, viz výše.</w:t>
      </w:r>
    </w:p>
    <w:p w:rsidR="00000000" w:rsidDel="00000000" w:rsidP="00000000" w:rsidRDefault="00000000" w:rsidRPr="00000000" w14:paraId="0000001D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E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definuje aplikaci TPEG2-CAI „podmíněného přístupu“ na úrovni komponenty služby. Ta umožňuje chránit obsah služby TPEG před neoprávněným přístupem. Dále zmiňuje správu informací o odběratelích na klientských zařízeních za účelem nastavení, prodloužení nebo zrušení předplatného na daném klientském zařízení.</w:t>
      </w:r>
    </w:p>
    <w:p w:rsidR="00000000" w:rsidDel="00000000" w:rsidP="00000000" w:rsidRDefault="00000000" w:rsidRPr="00000000" w14:paraId="0000001B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C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dokument uvádí 7 normativních odkazů na normu TPEG2 ISO 21219 části 1-6 a 9. Důležité jsou zejména TPEG2-SNI (část 5) a TPEG2-SWF (část 9).</w:t>
      </w:r>
    </w:p>
    <w:p w:rsidR="00000000" w:rsidDel="00000000" w:rsidP="00000000" w:rsidRDefault="00000000" w:rsidRPr="00000000" w14:paraId="0000001F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2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definuje dva termíny, služba a komponenta služby.</w:t>
      </w:r>
    </w:p>
    <w:p w:rsidR="00000000" w:rsidDel="00000000" w:rsidP="00000000" w:rsidRDefault="00000000" w:rsidRPr="00000000" w14:paraId="00000021">
      <w:pPr>
        <w:pageBreakBefore w:val="0"/>
        <w:spacing w:after="120" w:lineRule="auto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b w:val="1"/>
          <w:bCs w:val="1"/>
          <w:rtl w:val="0"/>
        </w:rPr>
        <w:t xml:space="preserve">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(service) </w:t>
      </w:r>
      <w:r w:rsidDel="00000000" w:rsidR="00000000" w:rsidRPr="00000000">
        <w:rPr>
          <w:rtl w:val="0"/>
        </w:rPr>
        <w:t xml:space="preserve">– sbírka různých informačních toků (aplikací) logicky spojených a dodaných od poskytovatele služeb koncovému uživateli </w:t>
      </w:r>
    </w:p>
    <w:p w:rsidR="00000000" w:rsidDel="00000000" w:rsidP="00000000" w:rsidRDefault="00000000" w:rsidRPr="00000000" w14:paraId="00000022">
      <w:pPr>
        <w:pageBreakBefore w:val="0"/>
        <w:spacing w:after="120" w:lineRule="auto"/>
        <w:jc w:val="both"/>
        <w:rPr>
          <w:b w:val="1"/>
          <w:bCs w:val="1"/>
        </w:rPr>
      </w:pPr>
      <w:bookmarkStart w:colFirst="0" w:colLast="0" w:name="_1fob9te" w:id="2"/>
      <w:bookmarkEnd w:id="2"/>
      <w:r w:rsidDel="00000000" w:rsidR="00000000" w:rsidRPr="00000000">
        <w:rPr>
          <w:b w:val="1"/>
          <w:bCs w:val="1"/>
          <w:rtl w:val="0"/>
        </w:rPr>
        <w:t xml:space="preserve">komponenta služby </w:t>
      </w:r>
      <w:r w:rsidDel="00000000" w:rsidR="00000000" w:rsidRPr="00000000">
        <w:rPr>
          <w:i w:val="1"/>
          <w:iCs w:val="1"/>
          <w:rtl w:val="0"/>
        </w:rPr>
        <w:t xml:space="preserve">(service component) </w:t>
      </w:r>
      <w:r w:rsidDel="00000000" w:rsidR="00000000" w:rsidRPr="00000000">
        <w:rPr>
          <w:rtl w:val="0"/>
        </w:rPr>
        <w:t xml:space="preserve">– součást služby ze kterých může být služba poskládána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23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2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stanoví 16 zkratek. V kapitole jsou uvedeny pouze některé zkratky částí normy TPEG. Tyto zkratky uvádíme v úvodu tohoto extraktu, proto je zde dále neuvádíme.</w:t>
      </w:r>
    </w:p>
    <w:p w:rsidR="00000000" w:rsidDel="00000000" w:rsidP="00000000" w:rsidRDefault="00000000" w:rsidRPr="00000000" w14:paraId="00000025">
      <w:pPr>
        <w:pageBreakBefore w:val="0"/>
        <w:spacing w:after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TPEG</w:t>
      </w:r>
      <w:r w:rsidDel="00000000" w:rsidR="00000000" w:rsidRPr="00000000">
        <w:rPr>
          <w:rtl w:val="0"/>
        </w:rPr>
        <w:tab/>
        <w:t xml:space="preserve">dopravní protokol expertní skupiny </w:t>
      </w:r>
      <w:r w:rsidDel="00000000" w:rsidR="00000000" w:rsidRPr="00000000">
        <w:rPr>
          <w:i w:val="1"/>
          <w:iCs w:val="1"/>
          <w:rtl w:val="0"/>
        </w:rPr>
        <w:t xml:space="preserve">(transport protocol experts group)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EncID</w:t>
        <w:tab/>
      </w:r>
      <w:r w:rsidDel="00000000" w:rsidR="00000000" w:rsidRPr="00000000">
        <w:rPr>
          <w:rtl w:val="0"/>
        </w:rPr>
        <w:t xml:space="preserve">identifikace šifrování </w:t>
      </w:r>
      <w:r w:rsidDel="00000000" w:rsidR="00000000" w:rsidRPr="00000000">
        <w:rPr>
          <w:i w:val="1"/>
          <w:iCs w:val="1"/>
          <w:rtl w:val="0"/>
        </w:rPr>
        <w:t xml:space="preserve">(encryption identifier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AID</w:t>
        <w:tab/>
      </w:r>
      <w:r w:rsidDel="00000000" w:rsidR="00000000" w:rsidRPr="00000000">
        <w:rPr>
          <w:rtl w:val="0"/>
        </w:rPr>
        <w:t xml:space="preserve">identifikace aplikace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application identification)</w:t>
      </w:r>
    </w:p>
    <w:p w:rsidR="00000000" w:rsidDel="00000000" w:rsidP="00000000" w:rsidRDefault="00000000" w:rsidRPr="00000000" w14:paraId="00000028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CAI</w:t>
        <w:tab/>
      </w:r>
      <w:r w:rsidDel="00000000" w:rsidR="00000000" w:rsidRPr="00000000">
        <w:rPr>
          <w:rtl w:val="0"/>
        </w:rPr>
        <w:t xml:space="preserve">informace o podmíněném přístupu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conditional access information)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1/2 strany) nejprve vymezuje použití identifikátoru aplikace (AID) v rámci informací o službě; každá „aplikace“ TPEG má svůj identifikátor stanovený v části 1 normy (TPEG-INV). AID je použit v TPEG2-SNI k indikaci, jakým způsobem má dekodér pracovat s předávaným obsahem.</w:t>
      </w:r>
    </w:p>
    <w:p w:rsidR="00000000" w:rsidDel="00000000" w:rsidP="00000000" w:rsidRDefault="00000000" w:rsidRPr="00000000" w14:paraId="0000002C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se věnuje způsobu předání informace o verzi aplikace. Verze je klíčová z pohledu dekodéru, jednotlivé verze stejné aplikace se totiž mohou od sebe lišit strukturou, obsahem, atp. Princip přidělování verzí je stanoven v popisovaném dokumentu.</w:t>
      </w:r>
    </w:p>
    <w:p w:rsidR="00000000" w:rsidDel="00000000" w:rsidP="00000000" w:rsidRDefault="00000000" w:rsidRPr="00000000" w14:paraId="0000002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CAI používá rámec komponent služby TPEG s CRC daty dle specifikace v TPEG2-UXCR.</w:t>
      </w:r>
    </w:p>
    <w:p w:rsidR="00000000" w:rsidDel="00000000" w:rsidP="00000000" w:rsidRDefault="00000000" w:rsidRPr="00000000" w14:paraId="0000002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6 Metodika podmíněného přístupu</w:t>
      </w:r>
    </w:p>
    <w:p w:rsidR="00000000" w:rsidDel="00000000" w:rsidP="00000000" w:rsidRDefault="00000000" w:rsidRPr="00000000" w14:paraId="0000002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strana) uvádí, že podmíněný přístup je stanoven v normách TEPG2-SFW a TPEG2-SNI jako funkce aplikovaná na úrovni rámce služby či komponent služby. Šifrovací metoda je indikovaná pomocí identifikátoru šifrování (EncID) přímo v rámci služby či pro její komponenty prostřednictvím tabulky GST1.</w:t>
      </w:r>
    </w:p>
    <w:p w:rsidR="00000000" w:rsidDel="00000000" w:rsidP="00000000" w:rsidRDefault="00000000" w:rsidRPr="00000000" w14:paraId="0000003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dále uvádí, že k dešifrování zašifrovaného obsahu je zapotřebí někde přenášet informace o použitém způsobu šifrování, o tom, co je a co není zašifrováno nezávisle na zašifrovaném obsahu. Ideálním způsobem, jak tyto informace přenášet, je prostřednictvím další komponenty služby s vyhrazeným AID.</w:t>
      </w:r>
    </w:p>
    <w:p w:rsidR="00000000" w:rsidDel="00000000" w:rsidP="00000000" w:rsidRDefault="00000000" w:rsidRPr="00000000" w14:paraId="00000031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Některé komponenty služby mohou být zašifrovány jedním (stejným) klíčem, zatímco jiné komponenty jiným. To umožňuje prodávat „balíčky“ služeb (pro všechny komponenty „balíčku“ je použit stejný šifrovací klíč). </w:t>
      </w:r>
    </w:p>
    <w:p w:rsidR="00000000" w:rsidDel="00000000" w:rsidP="00000000" w:rsidRDefault="00000000" w:rsidRPr="00000000" w14:paraId="0000003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Každá zašifrovaná komponenta služby musí být propojena s relevantní komponentou CAI nesoucí informace o podmíněném přístupu. Toto se řeší prostřednictvím tabulky GST-6 Odkazy CAI.</w:t>
      </w:r>
    </w:p>
    <w:p w:rsidR="00000000" w:rsidDel="00000000" w:rsidP="00000000" w:rsidRDefault="00000000" w:rsidRPr="00000000" w14:paraId="0000003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tato kapitola uvádí příklad, kdy rámec služby obsahuje 9 komponent. Komponentu SNI, dále jednu nezašifrovanou komponentu TEC a 2 zašifrované TEC (stejným klíčem), jednu zašifrovanou a nezašifrovanou komponentu PKI a dále 3 komponenty CAI. První pro indikaci skupiny TEC, druhou pro indikaci komponenty PKI a třetí pro všechny zašifrované komponenty dohromady.</w:t>
      </w:r>
    </w:p>
    <w:p w:rsidR="00000000" w:rsidDel="00000000" w:rsidP="00000000" w:rsidRDefault="00000000" w:rsidRPr="00000000" w14:paraId="0000003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Metodika dále uvádí, že popisovaný dokument stanovuje obálku, do které musí být teprve vložen obsah specifický dle použitého způsobu podmíněného přístupu (dle indikace pomocí EncID).</w:t>
      </w:r>
    </w:p>
    <w:p w:rsidR="00000000" w:rsidDel="00000000" w:rsidP="00000000" w:rsidRDefault="00000000" w:rsidRPr="00000000" w14:paraId="00000035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7 Struktura CAI</w:t>
      </w:r>
    </w:p>
    <w:p w:rsidR="00000000" w:rsidDel="00000000" w:rsidP="00000000" w:rsidRDefault="00000000" w:rsidRPr="00000000" w14:paraId="00000036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obrázek) uvádí strukturu CAI. Na rozdíl od dalších aplikací TPEG nemá aplikace CAI kontejnery pro popis polohy a řízení zprávy, skládá se pouze z jedné generické komponenty, jejíž obsah v dokumentu není stanoven.</w:t>
      </w:r>
    </w:p>
    <w:p w:rsidR="00000000" w:rsidDel="00000000" w:rsidP="00000000" w:rsidRDefault="00000000" w:rsidRPr="00000000" w14:paraId="00000037">
      <w:pPr>
        <w:pageBreakBefore w:val="0"/>
        <w:spacing w:after="120" w:lineRule="auto"/>
        <w:ind w:left="709"/>
        <w:jc w:val="center"/>
        <w:rPr/>
      </w:pPr>
      <w:r w:rsidDel="00000000" w:rsidR="00000000" w:rsidRPr="00000000">
        <w:rPr/>
        <w:drawing>
          <wp:inline distB="0" distT="0" distL="0" distR="0">
            <wp:extent cx="1705927" cy="169803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5927" cy="1698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20" w:before="120" w:lineRule="auto"/>
        <w:jc w:val="center"/>
        <w:rPr>
          <w:b w:val="1"/>
          <w:bCs w:val="1"/>
        </w:rPr>
      </w:pPr>
      <w:r>
        <w:rPr>
          <w:rtl w:val="0"/>
        </w:rPr>
        <w:t xml:space="preserve">Obrázek 1 – </w:t>
      </w:r>
      <w:r>
        <w:rPr>
          <w:rtl w:val="0"/>
        </w:rPr>
        <w:t xml:space="preserve">Struktura zprávy CAI (obr. 1 dokumentu)</w:t>
      </w:r>
    </w:p>
    <w:p w:rsidR="00000000" w:rsidDel="00000000" w:rsidP="00000000" w:rsidRDefault="00000000" w:rsidRPr="00000000" w14:paraId="00000039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8 Komponenty CAI zprávy</w:t>
      </w:r>
    </w:p>
    <w:p w:rsidR="00000000" w:rsidDel="00000000" w:rsidP="00000000" w:rsidRDefault="00000000" w:rsidRPr="00000000" w14:paraId="0000003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odstavec) popisuje komponenty zprávy CAI. </w:t>
      </w:r>
    </w:p>
    <w:p w:rsidR="00000000" w:rsidDel="00000000" w:rsidP="00000000" w:rsidRDefault="00000000" w:rsidRPr="00000000" w14:paraId="0000003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Uvádí, že zpráva CAI obsahuje pouze jeden kontejner, jehož struktura je definována v jiných dokumentech (normách) pro ten který systém podmíněného přístupu. Systém podmíněného přístupu je určen indikátorem šifrování (EncID) signalizovaným v SNI.</w:t>
      </w:r>
    </w:p>
    <w:p w:rsidR="00000000" w:rsidDel="00000000" w:rsidP="00000000" w:rsidRDefault="00000000" w:rsidRPr="00000000" w14:paraId="0000003C">
      <w:pPr>
        <w:pStyle w:val="Heading1"/>
        <w:pageBreakBefore w:val="0"/>
        <w:rPr/>
      </w:pPr>
      <w:r>
        <w:rPr>
          <w:rtl w:val="0"/>
        </w:rPr>
        <w:t xml:space="preserve">9 Literatura</w:t>
      </w:r>
    </w:p>
    <w:p w:rsidR="00000000" w:rsidDel="00000000" w:rsidP="00000000" w:rsidRDefault="00000000" w:rsidRPr="00000000" w14:paraId="0000003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uvádí dva odkazy, první na předchozí verzi CAI v TPEG1 a druhý na definici XML schématu.</w:t>
      </w:r>
    </w:p>
    <w:p w:rsidR="00000000" w:rsidDel="00000000" w:rsidP="00000000" w:rsidRDefault="00000000" w:rsidRPr="00000000" w14:paraId="0000003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A </w:t>
      </w:r>
      <w:r w:rsidDel="00000000" w:rsidR="00000000" w:rsidRPr="00000000">
        <w:rPr>
          <w:b w:val="0"/>
          <w:bCs w:val="0"/>
          <w:rtl w:val="0"/>
        </w:rPr>
        <w:t xml:space="preserve">(normativní) </w:t>
      </w:r>
      <w:r w:rsidDel="00000000" w:rsidR="00000000" w:rsidRPr="00000000">
        <w:rPr>
          <w:rtl w:val="0"/>
        </w:rPr>
        <w:t xml:space="preserve">TPEG-bin reprezentace CAI</w:t>
      </w:r>
    </w:p>
    <w:p w:rsidR="00000000" w:rsidDel="00000000" w:rsidP="00000000" w:rsidRDefault="00000000" w:rsidRPr="00000000" w14:paraId="0000003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stanovuje binární reprezentaci aplikace informace o podmíněném přístupu (CAI) TPEG pro použití v DAB. Popis binární reprezentace je použit pseudokód, kde pro každé klíčové slovo zapsané struktury je znám jeho binární tvar. </w:t>
      </w:r>
    </w:p>
    <w:p w:rsidR="00000000" w:rsidDel="00000000" w:rsidP="00000000" w:rsidRDefault="00000000" w:rsidRPr="00000000" w14:paraId="0000004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stanovuje identifikátor zprávy CAI a strukturu zprávy pomocí instrukce „external“, nestanovuje tedy strukturu obsahu, ale pouze „obálku“. </w:t>
      </w:r>
    </w:p>
    <w:p w:rsidR="00000000" w:rsidDel="00000000" w:rsidP="00000000" w:rsidRDefault="00000000" w:rsidRPr="00000000" w14:paraId="00000041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B </w:t>
      </w:r>
      <w:r w:rsidDel="00000000" w:rsidR="00000000" w:rsidRPr="00000000">
        <w:rPr>
          <w:b w:val="0"/>
          <w:bCs w:val="0"/>
          <w:rtl w:val="0"/>
        </w:rPr>
        <w:t xml:space="preserve">(normativní)</w:t>
      </w:r>
      <w:r w:rsidDel="00000000" w:rsidR="00000000" w:rsidRPr="00000000">
        <w:rPr>
          <w:rtl w:val="0"/>
        </w:rPr>
        <w:t xml:space="preserve"> TPEG-ML reprezentace CAI</w:t>
      </w:r>
    </w:p>
    <w:p w:rsidR="00000000" w:rsidDel="00000000" w:rsidP="00000000" w:rsidRDefault="00000000" w:rsidRPr="00000000" w14:paraId="0000004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obsahuje popis XML reprezentace a XML schéma rámce TPEG.</w:t>
      </w:r>
    </w:p>
    <w:p w:rsidR="00000000" w:rsidDel="00000000" w:rsidP="00000000" w:rsidRDefault="00000000" w:rsidRPr="00000000" w14:paraId="0000004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Stanovuje prázdné XML schéma a uvádí, že do tohoto prázdného schématu má být naimportováno externí schéma stanovující konkrétní strukturu kontejneru CAI dle požadavků té které aplikace.</w:t>
      </w:r>
    </w:p>
    <w:sectPr>
      <w:footerReference r:id="rId8" w:type="default"/>
      <w:footerReference r:id="rId9" w:type="first"/>
      <w:footerReference r:id="rId10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pageBreakBefore w:val="0"/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www.itsterminology.org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