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tabs>
          <w:tab w:val="left" w:pos="7080"/>
          <w:tab w:val="right" w:pos="9923"/>
        </w:tabs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EXTRAKT z technické specifikace ISO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-1349373</wp:posOffset>
            </wp:positionV>
            <wp:extent cx="75565" cy="151765"/>
            <wp:effectExtent b="0" l="0" r="0" t="0"/>
            <wp:wrapSquare wrapText="bothSides" distB="0" distT="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trHeight w:val="1200" w:hRule="atLeast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340" w:lineRule="auto"/>
              <w:ind w:left="0" w:right="567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Inteligentní dopravní systémy – Dopravní a cestovní informace v dopravním protokolu expertní skupiny, 2. generace (TPEG2) – Část 14: Aplikace pro informace o parkování (TPEG2-PKI)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3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ISO/TS 21219-14</w:t>
            </w:r>
          </w:p>
          <w:p w:rsidR="00000000" w:rsidDel="00000000" w:rsidP="00000000" w:rsidRDefault="00000000" w:rsidRPr="00000000" w14:paraId="0000000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340" w:lineRule="auto"/>
              <w:ind w:left="0" w:right="56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01 8388</w:t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923"/>
        </w:tabs>
        <w:spacing w:after="360" w:before="24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Vydána 2016, 83 stran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Tento extrakt (dále jen “popisovaný dokument”) popisuje část 14 normy TPEG „Aplikace pro informace o parkování” (TPEG2-PKI), která specifikuje informace o stavu parkovacího zařízení.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Popisovaný dokument stanovuje strukturu aplikace pro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parkování. Popisovaný dokument je nezbytný pro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poskytovatele i příjemce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dopravních informací, jejich programátory, kteří pracují se samotným formátem XML či programují datové proudy pro DAB. 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  <w:t xml:space="preserve">1 Předmět normy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Popisovaný dokument definuje aplikaci TPEG PKI „Aplikace pro informace o parkování“. Ta umožňuje distribuovat informace o stavu parkovišť. Jedná se nejen o informace o aktuální a očekávané obsazenosti, ale také o podrobný popis každého parkoviště, včetně provozní doby, parkovacích schémat, způsobů platby, vlastnosti vjezdů, přidružených služeb a typů parkovacího zařízení.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 aplikaci informace o parkování nejsou specifikována jednotlivá parkovací místa, pouze celé parkoviště se všemi detaily souvisejícími s parkovištěm.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 Souvisící normy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Tento dokument uvádí 11 normativních odkazů na normu TPEG2 ISO 21219 části 1-9 stanovující sestavení zpráv z kontejnerů, odvození z modelu UML, vysílání zpráv a jejich signalizaci.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definuje tři termíny. Jedná se o definici kontejneru pro management zpráv (MMC), kontejneru pro popis události (ADC) a kontejneru pro odkazování na polohu (LRC). Viz. zkratky.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bookmarkStart w:colFirst="0" w:colLast="0" w:name="_heading=h.3dy6vkm" w:id="5"/>
      <w:bookmarkEnd w:id="5"/>
      <w:r w:rsidDel="00000000" w:rsidR="00000000" w:rsidRPr="00000000">
        <w:rPr>
          <w:b w:val="1"/>
          <w:rtl w:val="0"/>
        </w:rPr>
        <w:t xml:space="preserve">odkazování na polohu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(Location Referencing)</w:t>
      </w:r>
      <w:r w:rsidDel="00000000" w:rsidR="00000000" w:rsidRPr="00000000">
        <w:rPr>
          <w:rtl w:val="0"/>
        </w:rPr>
        <w:t xml:space="preserve"> – prostředky umožňující systému přesně identifikovat polohu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Další termíny a zkratky z oboru ITS jsou obsaženy ve slovníku ITS terminology.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1t3h5sf" w:id="6"/>
      <w:bookmarkEnd w:id="6"/>
      <w:r w:rsidDel="00000000" w:rsidR="00000000" w:rsidRPr="00000000">
        <w:rPr>
          <w:rtl w:val="0"/>
        </w:rPr>
        <w:t xml:space="preserve">4 Symboly a zkratky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stanovuje 13 zkratek reprezentujících jednotlivé části / kontejnery zprávy: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kontejner pro management zpráv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(Message Management Container)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Neuvedené, ale související jsou: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ADC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kontejner pro popis aplikace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(Application Data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LRC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kontejner pro odkazování na polohu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(Location Referencing Container)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PKI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aplikace pro informace o parkování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(Parking Information)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5 Podmínky a omezení aplikace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Tato kapitola (rozsah 1,5 strany) vymezuje: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Identifikátor aplikace, který je stanovený pro všechny aplikace v TS 21219-1.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Verzi aplikace. Verze je klíčová z pohledu dekodéru, jednotlivé verze stejné aplikace se totiž mohou od sebe lišit strukturou, obsahem atp.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Rozšiřitelnost a zpětnou kompatibilitu, jako požadavek na přeskočení neznámých částí zprávy dekodérem a specifikaci v budoucnu rozšiřitelných částí struktur TPEG zprávy.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Rámec komponent služby TPEG dle ISO/TS 21219-5.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6 Komponenty zprávy PKI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(rozsah 12 stran, obrázky a tabulky) popisuje jednotlivé komponenty zprávy PKI.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Volně popisuje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několik různých struktur zprávy PKI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 to z důvodů dvou rozdílných obsahů. Informace o parkování musí vždy použít kontejner pro řízení zprávy (MMC). Volitelně může mít jeden popis polohy (ParkingLocation), jeden popis parkoviště (ParkingSiteDescription), několik doporučení (Advice), jeden popis současné obsazenosti (CurrentCapacity) a několik očekávaných budoucích stavů obsazenosti  (ExpectedCapacity).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(Poznámka autora extraktu: Různé použití MMC/ADC a LRC zde není popsáno do detailu, pro lepší orientaci doporučujeme například normu ISO 21219-18.)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kapitola dále obsahuje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použitých datových struktur (typů). Struktury se skládají ze složitých či jednoduchých datových typů. Následující tabulka jmenovitě uvádí tyto struktury a doplňuje je popisem. </w:t>
      </w:r>
    </w:p>
    <w:tbl>
      <w:tblPr>
        <w:tblStyle w:val="Table2"/>
        <w:tblW w:w="9045.0" w:type="dxa"/>
        <w:jc w:val="left"/>
        <w:tblInd w:w="116.0" w:type="dxa"/>
        <w:tblLayout w:type="fixed"/>
        <w:tblLook w:val="0000"/>
      </w:tblPr>
      <w:tblGrid>
        <w:gridCol w:w="2534"/>
        <w:gridCol w:w="6511"/>
        <w:tblGridChange w:id="0">
          <w:tblGrid>
            <w:gridCol w:w="2534"/>
            <w:gridCol w:w="6511"/>
          </w:tblGrid>
        </w:tblGridChange>
      </w:tblGrid>
      <w:tr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1 – Seznam použitých tabulek PKI (zdroj: autor extraktu)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Struktura PKI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ParkingLocation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Odkaz do kontejneru pro popis polohy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ParkingSiteDescription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Základní popis funkcí parkoviště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ParkingInfo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Základní informace včetně identifikace, adresy a kontaktů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Odkaz na logo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Kontaktní informace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ParkingSpecification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Informace parkovacím zařízení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InformationFor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Informace o parkovacích stáních, rezervace pro uživatele, typ vozidla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SizeRestrictions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Maximální rozměry vozidla pro dané parkoviště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GateInfo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Informace o vjezdové bráně, včetně rozměrů a polohy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ParkingForEvent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Popis typu události, pro kterou je parkování zřízeno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Vzdálenost, směr, cestovní čas k dosažení odkazovaného parkoviště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OpeningHours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Popis provozní doby se specifikací vozidla a uživatele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PricingPayment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Popis platebního schématu (od-do, kolik, …)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PaymentDetails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Popis platebních prostředků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Facilities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Popis zařízení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AssociatedService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Popis doplňkových služeb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CurrentCapacity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Celková stávající kapacita parkoviště s detaily stavu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CurrentCapacityFor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Stávající kapacita parkoviště podle typu vozidla a uživatele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ExpectedCapacity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Celková očekávaná kapacita parkoviště s odhadem stavu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ExpectedCapacityFor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Očekávaná kapacita parkoviště podle typu vozidla a uživatele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Doporučení ohledně parkování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Následující obrázek ukazuje model tříd zprávy o parkování.</w:t>
      </w:r>
    </w:p>
    <w:p w:rsidR="00000000" w:rsidDel="00000000" w:rsidP="00000000" w:rsidRDefault="00000000" w:rsidRPr="00000000" w14:paraId="0000005C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63260" cy="61341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Obrázek  1 – UML model tříd aplikace PKI (obr. 4 normy)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Následující tabulka ukazuje jednu z definicí tříd, skládající se z jednoho výčtového typu (pki011) a dvou krátkých textových řetězců. </w:t>
      </w:r>
    </w:p>
    <w:p w:rsidR="00000000" w:rsidDel="00000000" w:rsidP="00000000" w:rsidRDefault="00000000" w:rsidRPr="00000000" w14:paraId="0000005F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Tabulka 2 – třída „AssociatedService“ (tab. 17 normy)</w:t>
      </w:r>
    </w:p>
    <w:tbl>
      <w:tblPr>
        <w:tblStyle w:val="Table3"/>
        <w:tblW w:w="9078.0" w:type="dxa"/>
        <w:jc w:val="left"/>
        <w:tblInd w:w="172.0" w:type="dxa"/>
        <w:tblLayout w:type="fixed"/>
        <w:tblLook w:val="0000"/>
      </w:tblPr>
      <w:tblGrid>
        <w:gridCol w:w="1478"/>
        <w:gridCol w:w="2435"/>
        <w:gridCol w:w="970"/>
        <w:gridCol w:w="4195"/>
        <w:tblGridChange w:id="0">
          <w:tblGrid>
            <w:gridCol w:w="1478"/>
            <w:gridCol w:w="2435"/>
            <w:gridCol w:w="970"/>
            <w:gridCol w:w="419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Multiplicity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serviceType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pki011:AssociatedService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The type of the associated service.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serviceName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LocalisedShortString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0..*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Description of the service in specified languages.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LocalisedShortString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0..*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Language specific strings representing the name and/or company of the operator.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7 Tabulky PKI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Tato kapitola (rozsah 14 stran) obsahuje definice výčtových typů aplikace PKI (ve 22 tabulkách). Následující tabulka jmenovitě uvádí jednotlivé tabulky a doplňuje je popisem a příkladem obsahu.</w:t>
      </w:r>
    </w:p>
    <w:tbl>
      <w:tblPr>
        <w:tblStyle w:val="Table4"/>
        <w:tblW w:w="9060.0" w:type="dxa"/>
        <w:jc w:val="left"/>
        <w:tblInd w:w="131.0" w:type="dxa"/>
        <w:tblLayout w:type="fixed"/>
        <w:tblLook w:val="0000"/>
      </w:tblPr>
      <w:tblGrid>
        <w:gridCol w:w="2671"/>
        <w:gridCol w:w="3969"/>
        <w:gridCol w:w="2420"/>
        <w:tblGridChange w:id="0">
          <w:tblGrid>
            <w:gridCol w:w="2671"/>
            <w:gridCol w:w="3969"/>
            <w:gridCol w:w="2420"/>
          </w:tblGrid>
        </w:tblGridChange>
      </w:tblGrid>
      <w:tr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3 – Seznam použitých tabulek PKI (zdroj: autor extraktu)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Tabulka PKI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Popis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Obsah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pki001:VehicleType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vozidel.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17: car with caravan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pki002:ParkingType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parkovišť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Př.: 18: kiss and ride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pki003:UserType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uživatelů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Př: 17: employees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color w:val="000000"/>
                <w:sz w:val="18"/>
                <w:szCs w:val="18"/>
              </w:rPr>
            </w:pPr>
            <w:bookmarkStart w:colFirst="0" w:colLast="0" w:name="_heading=h.4d34og8" w:id="7"/>
            <w:bookmarkEnd w:id="7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pki004:FuelType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pohonných hmot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Př: 8: hydrogen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pki005:AvailableFeatures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vybavení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7: shower facility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pki006:EventType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událostí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5: flower event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pki007:Reservability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rezervací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2: reservable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pki008:FacilityType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parkovacího zařízení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2: valet parking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pki009:SupervisionType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dohledu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3: on site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pki010:SecurityType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zabezpečení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2: security staff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pki011:AssociatedService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přidružených služeb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1: fuel station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pki012:ParkingStatus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Výčet různých typů stavů parkoviště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Př.: 4: closed</w:t>
            </w:r>
          </w:p>
        </w:tc>
      </w:tr>
      <w:tr>
        <w:trPr>
          <w:trHeight w:val="200" w:hRule="atLeast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-- redakčně zkráceno o 10 položek --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Následující tabulka obsahuje ukázku tabulky “PKI005:AvailableFeatures” z popisovaného dokumentu.</w:t>
      </w:r>
    </w:p>
    <w:tbl>
      <w:tblPr>
        <w:tblStyle w:val="Table5"/>
        <w:tblW w:w="9045.0" w:type="dxa"/>
        <w:jc w:val="left"/>
        <w:tblInd w:w="131.0" w:type="dxa"/>
        <w:tblLayout w:type="fixed"/>
        <w:tblLook w:val="0000"/>
      </w:tblPr>
      <w:tblGrid>
        <w:gridCol w:w="828"/>
        <w:gridCol w:w="2268"/>
        <w:gridCol w:w="5949"/>
        <w:tblGridChange w:id="0">
          <w:tblGrid>
            <w:gridCol w:w="828"/>
            <w:gridCol w:w="2268"/>
            <w:gridCol w:w="5949"/>
          </w:tblGrid>
        </w:tblGridChange>
      </w:tblGrid>
      <w:tr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4 – Části definice výčtového typu PKI005:AvailableFeatures (nečíslovaná část)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Fráze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komentář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Service provider does not know at time of message generation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wheelchair accessible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internet hotspots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electricity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toilet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Příloha A (normativní) TPEG-bin reprezentace PKI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Tato příloha (rozsah 16 stran) stanovuje binární reprezentaci aplikace pro informace o parkování (PKI) TPEG pro použití v DAB. Pro popis binární reprezentace je použit pseudokód, kde pro každé klíčové slovo zapsané struktury je definován jeho binární tvar.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Příloha obsahuje samostatně uvedené binární reprezentace rámce TPEG, zprávy PKI a jejích součástí, prvků určených pro budoucí rozšíření a datových typů. Dále obsahuje identifikátory komponent zprávy a vysvětlení použití obecných atributů TPEG.</w:t>
      </w:r>
    </w:p>
    <w:p w:rsidR="00000000" w:rsidDel="00000000" w:rsidP="00000000" w:rsidRDefault="00000000" w:rsidRPr="00000000" w14:paraId="000000BE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Tabulka 5 - Výstřižek pseudokódu specifikace prvku ParkingMessage (nečíslovaná část)</w:t>
      </w:r>
    </w:p>
    <w:tbl>
      <w:tblPr>
        <w:tblStyle w:val="Table6"/>
        <w:tblW w:w="9195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600"/>
        <w:gridCol w:w="5595"/>
        <w:tblGridChange w:id="0">
          <w:tblGrid>
            <w:gridCol w:w="3600"/>
            <w:gridCol w:w="5595"/>
          </w:tblGrid>
        </w:tblGridChange>
      </w:tblGrid>
      <w:tr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&lt;ParkingMessage(0)&gt;:=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&lt;IntUnTi&gt;(0),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id of this component</w:t>
            </w:r>
          </w:p>
        </w:tc>
      </w:tr>
      <w:tr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&lt;IntUnLoMB&gt;(lengthComp),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number of bytes in component</w:t>
            </w:r>
          </w:p>
        </w:tc>
      </w:tr>
      <w:tr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&lt;IntUnLoMB&gt;(lengthAttr),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number of bytes in attributes</w:t>
            </w:r>
          </w:p>
        </w:tc>
      </w:tr>
      <w:tr>
        <w:tc>
          <w:tcPr/>
          <w:p w:rsidR="00000000" w:rsidDel="00000000" w:rsidP="00000000" w:rsidRDefault="00000000" w:rsidRPr="00000000" w14:paraId="000000C8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ordered {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 &lt;MMCSwitch&gt;(mmt),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Includes one of the Message Management Container types.</w:t>
            </w:r>
          </w:p>
        </w:tc>
      </w:tr>
      <w:tr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unordered {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 n * &lt;ParkingLocation&gt; (parkingLocation)[0..1],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As defined in external TPEG2-Location Referencing specification.</w:t>
            </w:r>
          </w:p>
        </w:tc>
      </w:tr>
      <w:tr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 n * &lt;ParkingSiteDescription&gt; (parkingSiteDescription)[0..1],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 n * &lt;CurrentCapacity&gt; (currentCapacity)[0..1],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 n * &lt;ExpectedCapacity&gt; (expectedCapacity),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   n * &lt;Advice&gt;(advice)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};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spacing w:after="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Příloha B (normativní) TPEG-ML reprezentace PKI</w:t>
      </w:r>
    </w:p>
    <w:p w:rsidR="00000000" w:rsidDel="00000000" w:rsidP="00000000" w:rsidRDefault="00000000" w:rsidRPr="00000000" w14:paraId="000000DD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  <w:t xml:space="preserve">Tato příloha (rozsah 25 stran) obsahuje nejprve </w:t>
      </w:r>
      <w:r w:rsidDel="00000000" w:rsidR="00000000" w:rsidRPr="00000000">
        <w:rPr>
          <w:u w:val="single"/>
          <w:rtl w:val="0"/>
        </w:rPr>
        <w:t xml:space="preserve">samostatně uvedené</w:t>
      </w:r>
      <w:r w:rsidDel="00000000" w:rsidR="00000000" w:rsidRPr="00000000">
        <w:rPr>
          <w:rtl w:val="0"/>
        </w:rPr>
        <w:t xml:space="preserve"> XML schéma rámce TPEG, dále zprávy PKI a jejích součástí, prvků určených pro budoucí rozšíření, datových typů a tabulek PKI (definovaných jako xs:complexType). Následně uvádí vše výše zmíněné v jednom funkčním XML schématu.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&lt;xs:complexType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"ParkingSiteDescription"</w:t>
      </w:r>
      <w:r w:rsidDel="00000000" w:rsidR="00000000" w:rsidRPr="00000000">
        <w:rPr>
          <w:sz w:val="18"/>
          <w:szCs w:val="18"/>
          <w:rtl w:val="0"/>
        </w:rPr>
        <w:t xml:space="preserve">&gt; </w:t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&lt;xs:sequence&gt; </w:t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&lt;xs:choice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"unbounded"</w:t>
      </w:r>
      <w:r w:rsidDel="00000000" w:rsidR="00000000" w:rsidRPr="00000000">
        <w:rPr>
          <w:sz w:val="18"/>
          <w:szCs w:val="18"/>
          <w:rtl w:val="0"/>
        </w:rPr>
        <w:t xml:space="preserve">&gt; 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"parkingInfo"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"ParkingInfo"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"parkingSpecification"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"ParkingSpecification"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"parkingForEvent"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"ParkingForEvent"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"unbounded"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"openingHours"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"OpeningHours"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"unbounded"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"pricingPayment"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"PricingPayment"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"unbounded"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"facilities"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"Facilities"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"unbounded"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&lt;xs:element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"associatedService"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"AssociatedService"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minOccurs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 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"unbounded"</w:t>
      </w:r>
      <w:r w:rsidDel="00000000" w:rsidR="00000000" w:rsidRPr="00000000">
        <w:rPr>
          <w:sz w:val="18"/>
          <w:szCs w:val="18"/>
          <w:rtl w:val="0"/>
        </w:rPr>
        <w:t xml:space="preserve">/&gt; </w:t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&lt;/xs:choice&gt; 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&lt;/xs:sequence&gt; </w:t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tabs>
          <w:tab w:val="left" w:pos="1360"/>
        </w:tabs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&lt;/xs:complexType&gt; </w:t>
      </w:r>
    </w:p>
    <w:p w:rsidR="00000000" w:rsidDel="00000000" w:rsidP="00000000" w:rsidRDefault="00000000" w:rsidRPr="00000000" w14:paraId="000000EB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Obrázek  2 – Výstřižek schématu XSD stanovujícího strukturu </w:t>
        <w:br w:type="textWrapping"/>
        <w:t xml:space="preserve">prvku ParkingSiteDescription (nečíslovaná část)</w:t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Literatura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Tato kapitola uvádí dva odkazy na normy použité v textu, a to na definici XML schématu a na TPEG1-PKI (CEN ISO/TS 18234-7:2013), tedy parkovací normu první generace TPEG.</w:t>
      </w:r>
    </w:p>
    <w:sectPr>
      <w:footerReference r:id="rId9" w:type="default"/>
      <w:pgSz w:h="16838" w:w="11906" w:orient="portrait"/>
      <w:pgMar w:bottom="1497" w:top="1417" w:left="1417" w:right="1417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7080"/>
        <w:tab w:val="right" w:pos="9923"/>
      </w:tabs>
      <w:spacing w:after="60" w:before="0" w:line="276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Normln" w:default="1">
    <w:name w:val="Normal"/>
    <w:qFormat w:val="1"/>
    <w:rsid w:val="004B0175"/>
    <w:pPr>
      <w:suppressAutoHyphens w:val="1"/>
    </w:pPr>
    <w:rPr>
      <w:color w:val="000000"/>
      <w:lang w:bidi="hi-IN" w:eastAsia="hi-IN"/>
    </w:rPr>
  </w:style>
  <w:style w:type="paragraph" w:styleId="Nadpis1">
    <w:name w:val="heading 1"/>
    <w:basedOn w:val="Normal1"/>
    <w:next w:val="Zkladntext"/>
    <w:link w:val="Nadpis1Char"/>
    <w:uiPriority w:val="99"/>
    <w:qFormat w:val="1"/>
    <w:rsid w:val="00872E68"/>
    <w:pPr>
      <w:keepNext w:val="1"/>
      <w:keepLines w:val="1"/>
      <w:spacing w:after="60" w:before="240" w:line="240" w:lineRule="auto"/>
      <w:jc w:val="left"/>
      <w:outlineLvl w:val="0"/>
    </w:pPr>
    <w:rPr>
      <w:rFonts w:cs="Times New Roman" w:eastAsia="Times New Roman"/>
      <w:b w:val="1"/>
      <w:sz w:val="22"/>
      <w:lang w:bidi="ar-SA" w:eastAsia="cs-CZ"/>
    </w:rPr>
  </w:style>
  <w:style w:type="paragraph" w:styleId="Nadpis2">
    <w:name w:val="heading 2"/>
    <w:basedOn w:val="Normal1"/>
    <w:next w:val="Zkladntext"/>
    <w:qFormat w:val="1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al1"/>
    <w:next w:val="Zkladntext"/>
    <w:qFormat w:val="1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al1"/>
    <w:next w:val="Zkladntext"/>
    <w:qFormat w:val="1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al1"/>
    <w:next w:val="Zkladntext"/>
    <w:qFormat w:val="1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al1"/>
    <w:next w:val="Zkladntext"/>
    <w:qFormat w:val="1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al1"/>
    <w:next w:val="Podtitul"/>
    <w:qFormat w:val="1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character" w:styleId="ListLabel1" w:customStyle="1">
    <w:name w:val="ListLabel 1"/>
    <w:rPr>
      <w:u w:val="none"/>
    </w:rPr>
  </w:style>
  <w:style w:type="character" w:styleId="Odrky" w:customStyle="1">
    <w:name w:val="Odrážky"/>
    <w:rPr>
      <w:rFonts w:ascii="OpenSymbol" w:cs="OpenSymbol" w:eastAsia="OpenSymbol" w:hAnsi="OpenSymbol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sz w:val="28"/>
      <w:szCs w:val="28"/>
    </w:rPr>
  </w:style>
  <w:style w:type="paragraph" w:styleId="Zkladntext">
    <w:name w:val="Body Text"/>
    <w:basedOn w:val="Normln"/>
    <w:link w:val="ZkladntextChar"/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</w:rPr>
  </w:style>
  <w:style w:type="paragraph" w:styleId="Normal1" w:customStyle="1">
    <w:name w:val="Normal1"/>
    <w:pPr>
      <w:suppressAutoHyphens w:val="1"/>
    </w:pPr>
    <w:rPr>
      <w:lang w:bidi="hi-IN" w:eastAsia="hi-IN"/>
    </w:rPr>
  </w:style>
  <w:style w:type="paragraph" w:styleId="Podtitul">
    <w:name w:val="Subtitle"/>
    <w:basedOn w:val="Normln"/>
    <w:next w:val="Normln"/>
    <w:link w:val="Podtitul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80"/>
      <w:jc w:val="left"/>
    </w:pPr>
    <w:rPr>
      <w:b w:val="1"/>
      <w:i w:val="1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</w:style>
  <w:style w:type="paragraph" w:styleId="Odstavecseseznamem">
    <w:name w:val="List Paragraph"/>
    <w:basedOn w:val="Normln"/>
    <w:qFormat w:val="1"/>
    <w:pPr>
      <w:ind w:left="720"/>
    </w:pPr>
  </w:style>
  <w:style w:type="paragraph" w:styleId="Caption1" w:customStyle="1">
    <w:name w:val="Caption1"/>
    <w:basedOn w:val="Normln"/>
    <w:next w:val="Normln"/>
    <w:pPr>
      <w:spacing w:after="200" w:line="100" w:lineRule="atLeast"/>
      <w:jc w:val="center"/>
    </w:pPr>
    <w:rPr>
      <w:bCs w:val="1"/>
      <w:color w:val="auto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</w:style>
  <w:style w:type="table" w:styleId="Mkatabulky">
    <w:name w:val="Table Grid"/>
    <w:basedOn w:val="Normlntabulka"/>
    <w:uiPriority w:val="39"/>
    <w:rsid w:val="00877D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xample" w:customStyle="1">
    <w:name w:val="Example"/>
    <w:basedOn w:val="Normln"/>
    <w:next w:val="Normln"/>
    <w:rsid w:val="00877D3F"/>
    <w:pPr>
      <w:tabs>
        <w:tab w:val="left" w:pos="1360"/>
      </w:tabs>
      <w:suppressAutoHyphens w:val="0"/>
      <w:spacing w:after="240" w:line="210" w:lineRule="atLeast"/>
    </w:pPr>
    <w:rPr>
      <w:rFonts w:cs="Times New Roman" w:eastAsia="MS Mincho"/>
      <w:color w:val="auto"/>
      <w:sz w:val="18"/>
      <w:lang w:bidi="ar-SA" w:eastAsia="ja-JP" w:val="en-GB"/>
    </w:rPr>
  </w:style>
  <w:style w:type="paragraph" w:styleId="Titulek">
    <w:name w:val="caption"/>
    <w:basedOn w:val="Normln"/>
    <w:next w:val="Normln"/>
    <w:uiPriority w:val="35"/>
    <w:unhideWhenUsed w:val="1"/>
    <w:qFormat w:val="1"/>
    <w:rsid w:val="00834044"/>
    <w:rPr>
      <w:rFonts w:cs="Mangal"/>
      <w:b w:val="1"/>
      <w:bCs w:val="1"/>
      <w:szCs w:val="18"/>
    </w:rPr>
  </w:style>
  <w:style w:type="paragraph" w:styleId="TAL" w:customStyle="1">
    <w:name w:val="TAL"/>
    <w:basedOn w:val="Normln"/>
    <w:rsid w:val="001546E6"/>
    <w:pPr>
      <w:keepNext w:val="1"/>
      <w:keepLines w:val="1"/>
      <w:suppressAutoHyphens w:val="0"/>
      <w:spacing w:after="0" w:line="240" w:lineRule="auto"/>
      <w:jc w:val="left"/>
    </w:pPr>
    <w:rPr>
      <w:rFonts w:cs="Times New Roman" w:eastAsia="MS Mincho"/>
      <w:color w:val="auto"/>
      <w:sz w:val="18"/>
      <w:lang w:bidi="ar-SA" w:eastAsia="en-US" w:val="en-GB"/>
    </w:rPr>
  </w:style>
  <w:style w:type="paragraph" w:styleId="Tabletitle" w:customStyle="1">
    <w:name w:val="Table title"/>
    <w:basedOn w:val="Normln"/>
    <w:next w:val="Normln"/>
    <w:uiPriority w:val="99"/>
    <w:rsid w:val="006E0149"/>
    <w:pPr>
      <w:keepNext w:val="1"/>
      <w:spacing w:before="120" w:line="230" w:lineRule="exact"/>
      <w:jc w:val="center"/>
    </w:pPr>
    <w:rPr>
      <w:rFonts w:cs="Times New Roman" w:eastAsia="MS Mincho"/>
      <w:b w:val="1"/>
      <w:color w:val="auto"/>
      <w:lang w:bidi="ar-SA" w:eastAsia="ja-JP" w:val="en-GB"/>
    </w:rPr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1E3E18"/>
    <w:rPr>
      <w:rFonts w:cs="Mangal"/>
      <w:szCs w:val="18"/>
    </w:rPr>
  </w:style>
  <w:style w:type="character" w:styleId="TextpoznpodarouChar" w:customStyle="1">
    <w:name w:val="Text pozn. pod čarou Char"/>
    <w:link w:val="Textpoznpodarou"/>
    <w:uiPriority w:val="99"/>
    <w:semiHidden w:val="1"/>
    <w:rsid w:val="001E3E18"/>
    <w:rPr>
      <w:rFonts w:ascii="Arial" w:cs="Mangal" w:eastAsia="Arial" w:hAnsi="Arial"/>
      <w:color w:val="000000"/>
      <w:szCs w:val="18"/>
      <w:lang w:bidi="hi-IN" w:eastAsia="hi-IN" w:val="cs-CZ"/>
    </w:rPr>
  </w:style>
  <w:style w:type="character" w:styleId="Znakapoznpodarou">
    <w:name w:val="footnote reference"/>
    <w:uiPriority w:val="99"/>
    <w:semiHidden w:val="1"/>
    <w:unhideWhenUsed w:val="1"/>
    <w:rsid w:val="001E3E18"/>
    <w:rPr>
      <w:vertAlign w:val="superscript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sid w:val="00F94FE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rsid w:val="00F94FE6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sid w:val="00F94FE6"/>
    <w:rPr>
      <w:rFonts w:ascii="Arial" w:cs="Mangal" w:eastAsia="Arial" w:hAnsi="Arial"/>
      <w:color w:val="000000"/>
      <w:szCs w:val="18"/>
      <w:lang w:bidi="hi-IN" w:eastAsia="hi-IN" w:val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 w:val="1"/>
    <w:unhideWhenUsed w:val="1"/>
    <w:rsid w:val="00F94FE6"/>
    <w:rPr>
      <w:b w:val="1"/>
      <w:bCs w:val="1"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 w:val="1"/>
    <w:rsid w:val="00F94FE6"/>
    <w:rPr>
      <w:rFonts w:ascii="Arial" w:cs="Mangal" w:eastAsia="Arial" w:hAnsi="Arial"/>
      <w:b w:val="1"/>
      <w:bCs w:val="1"/>
      <w:color w:val="000000"/>
      <w:szCs w:val="18"/>
      <w:lang w:bidi="hi-IN" w:eastAsia="hi-IN" w:val="cs-CZ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F94FE6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F94FE6"/>
    <w:rPr>
      <w:rFonts w:ascii="Tahoma" w:cs="Mangal" w:eastAsia="Arial" w:hAnsi="Tahoma"/>
      <w:color w:val="000000"/>
      <w:sz w:val="16"/>
      <w:szCs w:val="14"/>
      <w:lang w:bidi="hi-IN" w:eastAsia="hi-IN" w:val="cs-CZ"/>
    </w:rPr>
  </w:style>
  <w:style w:type="character" w:styleId="ZkladntextChar" w:customStyle="1">
    <w:name w:val="Základní text Char"/>
    <w:basedOn w:val="Standardnpsmoodstavce"/>
    <w:link w:val="Zkladntext"/>
    <w:rsid w:val="00044537"/>
    <w:rPr>
      <w:rFonts w:ascii="Arial" w:cs="Arial" w:eastAsia="Arial" w:hAnsi="Arial"/>
      <w:color w:val="000000"/>
      <w:lang w:bidi="hi-IN" w:eastAsia="hi-IN" w:val="cs-CZ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PodtitulChar" w:customStyle="1">
    <w:name w:val="Podtitul Char"/>
    <w:basedOn w:val="Standardnpsmoodstavce"/>
    <w:link w:val="Podtitul"/>
    <w:uiPriority w:val="11"/>
    <w:rsid w:val="00872E68"/>
    <w:rPr>
      <w:b w:val="1"/>
      <w:i w:val="1"/>
      <w:color w:val="000000"/>
      <w:sz w:val="32"/>
      <w:szCs w:val="32"/>
      <w:lang w:bidi="hi-IN" w:eastAsia="hi-IN"/>
    </w:rPr>
  </w:style>
  <w:style w:type="character" w:styleId="Nadpis1Char" w:customStyle="1">
    <w:name w:val="Nadpis 1 Char"/>
    <w:basedOn w:val="Standardnpsmoodstavce"/>
    <w:link w:val="Nadpis1"/>
    <w:uiPriority w:val="99"/>
    <w:rsid w:val="00872E68"/>
    <w:rPr>
      <w:rFonts w:cs="Times New Roman" w:eastAsia="Times New Roman"/>
      <w:b w:val="1"/>
      <w:sz w:val="22"/>
      <w:lang w:eastAsia="cs-CZ"/>
    </w:rPr>
  </w:style>
  <w:style w:type="paragraph" w:styleId="1StrNN-4-3" w:customStyle="1">
    <w:name w:val="1StrNN-4-3"/>
    <w:basedOn w:val="Normln"/>
    <w:rsid w:val="00872E68"/>
    <w:pPr>
      <w:widowControl w:val="0"/>
      <w:spacing w:after="0" w:before="160" w:line="340" w:lineRule="exact"/>
      <w:ind w:right="567"/>
      <w:jc w:val="left"/>
    </w:pPr>
    <w:rPr>
      <w:rFonts w:cs="Times New Roman" w:eastAsia="Times New Roman"/>
      <w:b w:val="1"/>
      <w:color w:val="auto"/>
      <w:sz w:val="28"/>
      <w:lang w:bidi="ar-SA" w:eastAsia="cs-CZ"/>
    </w:rPr>
  </w:style>
  <w:style w:type="paragraph" w:styleId="1StrCN" w:customStyle="1">
    <w:name w:val="1StrCN"/>
    <w:basedOn w:val="Normln"/>
    <w:next w:val="Normln"/>
    <w:rsid w:val="00872E68"/>
    <w:pPr>
      <w:suppressAutoHyphens w:val="0"/>
      <w:spacing w:after="0" w:before="180" w:line="340" w:lineRule="exact"/>
      <w:jc w:val="left"/>
    </w:pPr>
    <w:rPr>
      <w:rFonts w:cs="Times New Roman" w:eastAsia="Times New Roman"/>
      <w:b w:val="1"/>
      <w:noProof w:val="1"/>
      <w:color w:val="auto"/>
      <w:sz w:val="32"/>
      <w:lang w:bidi="ar-SA" w:eastAsia="cs-CZ"/>
    </w:rPr>
  </w:style>
  <w:style w:type="paragraph" w:styleId="Shodnost" w:customStyle="1">
    <w:name w:val="Shodnost"/>
    <w:basedOn w:val="Normln"/>
    <w:next w:val="Normln"/>
    <w:rsid w:val="00872E68"/>
    <w:pPr>
      <w:keepNext w:val="1"/>
      <w:keepLines w:val="1"/>
      <w:tabs>
        <w:tab w:val="right" w:pos="9923"/>
      </w:tabs>
      <w:suppressAutoHyphens w:val="0"/>
      <w:spacing w:after="360" w:before="240" w:line="240" w:lineRule="auto"/>
      <w:jc w:val="left"/>
    </w:pPr>
    <w:rPr>
      <w:rFonts w:cs="Times New Roman" w:eastAsia="Times New Roman"/>
      <w:color w:val="auto"/>
      <w:sz w:val="28"/>
      <w:lang w:bidi="ar-SA" w:eastAsia="cs-CZ"/>
    </w:rPr>
  </w:style>
  <w:style w:type="paragraph" w:styleId="Textnormy" w:customStyle="1">
    <w:name w:val="Text normy"/>
    <w:link w:val="TextnormyChar1"/>
    <w:uiPriority w:val="99"/>
    <w:rsid w:val="00872E68"/>
    <w:pPr>
      <w:spacing w:line="240" w:lineRule="auto"/>
    </w:pPr>
    <w:rPr>
      <w:rFonts w:cs="Times New Roman" w:eastAsia="Times New Roman"/>
      <w:lang w:eastAsia="cs-CZ"/>
    </w:rPr>
  </w:style>
  <w:style w:type="character" w:styleId="TextnormyChar1" w:customStyle="1">
    <w:name w:val="Text normy Char1"/>
    <w:link w:val="Textnormy"/>
    <w:uiPriority w:val="99"/>
    <w:rsid w:val="00872E68"/>
    <w:rPr>
      <w:rFonts w:cs="Times New Roman" w:eastAsia="Times New Roman"/>
      <w:lang w:eastAsia="cs-CZ"/>
    </w:rPr>
  </w:style>
  <w:style w:type="paragraph" w:styleId="Poznmka" w:customStyle="1">
    <w:name w:val="Poznámka"/>
    <w:basedOn w:val="Textnormy"/>
    <w:next w:val="Textnormy"/>
    <w:link w:val="PoznmkaChar"/>
    <w:rsid w:val="004B0175"/>
    <w:pPr>
      <w:spacing w:after="200" w:before="80"/>
    </w:pPr>
    <w:rPr>
      <w:sz w:val="18"/>
    </w:rPr>
  </w:style>
  <w:style w:type="character" w:styleId="PoznmkaChar" w:customStyle="1">
    <w:name w:val="Poznámka Char"/>
    <w:link w:val="Poznmka"/>
    <w:locked w:val="1"/>
    <w:rsid w:val="004B0175"/>
    <w:rPr>
      <w:rFonts w:cs="Times New Roman" w:eastAsia="Times New Roman"/>
      <w:sz w:val="18"/>
      <w:lang w:eastAsia="cs-CZ"/>
    </w:rPr>
  </w:style>
  <w:style w:type="paragraph" w:styleId="NadpisTabObr" w:customStyle="1">
    <w:name w:val="NadpisTabObr"/>
    <w:basedOn w:val="Normln"/>
    <w:next w:val="Textnormy"/>
    <w:rsid w:val="004B0175"/>
    <w:pPr>
      <w:keepLines w:val="1"/>
      <w:spacing w:before="120" w:line="240" w:lineRule="auto"/>
      <w:jc w:val="center"/>
    </w:pPr>
    <w:rPr>
      <w:rFonts w:cs="Times New Roman" w:eastAsia="Times New Roman"/>
      <w:b w:val="1"/>
      <w:color w:val="auto"/>
      <w:lang w:bidi="ar-SA" w:eastAsia="cs-CZ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80" w:lineRule="auto"/>
      <w:jc w:val="left"/>
    </w:pPr>
    <w:rPr>
      <w:b w:val="1"/>
      <w:i w:val="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aOdxtAZGWQ42iXanREzhN3HEw==">AMUW2mWoZJwdLnVR6O4qXFqslnz7PhIV91KIG38/QzEuCK9YZiPRpieeRFdBSBsDsEs6OyMITIS3j1Gd7U6y+djznK2dhao3sFBDPosLxW15F8Dfge4Gfmoaq9mIg2SHxsScVaa7/uixlEOYJL15h/gNEROxbxLr1L6JQZQiiILUOWjMG2lzjnLBMWHne+7fhVjfi4e0BPNB/6X4cCmVE24P6V4kc11Rb7Kf3V+RJGwP+209/aRtt7E=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2020-05-13T09:19:00Z</dcterms:created>
  <dc:creator>Petr Bureš</dc:creator>
</cp:coreProperties>
</file>