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080"/>
          <w:tab w:val="right" w:pos="9923"/>
        </w:tabs>
        <w:spacing w:after="60" w:before="0" w:line="276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-449579</wp:posOffset>
            </wp:positionV>
            <wp:extent cx="75565" cy="151765"/>
            <wp:effectExtent b="0" l="0" r="0" t="0"/>
            <wp:wrapSquare wrapText="bothSides" distB="0" distT="0" distL="114300" distR="114300"/>
            <wp:docPr id="103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sdt>
        <w:sdtPr>
          <w:tag w:val="goog_rdk_0"/>
        </w:sdtPr>
        <w:sdtContent/>
      </w:sdt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 mezinárodní normy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3">
            <w:pPr>
              <w:keepNext w:val="1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Inteligentní dopravní systémy – Dopravní a cestovní informace předávané prostřednictvím expertní skupiny pro protokoly v dopravě 2. generace (TPEG 2) - Část 18: Aplikace pro informace o stavu dopravního proudu a jeho predikci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 21219-18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24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201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58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24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Zavedena v ČSN jako ČSN ISO 21219-18 (vydána 2020-02)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extrakt (dále jen “popisovaný dokument”) popisuje část 18 normy TPEG „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Aplikace pro informace o stavu dopravního proudu a jeho predikci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(TFP)”, která specifikuje 3 metody popisu stavů dopravy na sledovaném úseku v čase.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2et92p0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Popisovaný dokument stanovuje strukturu pro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informace o stavu dopravního proudu a jeho predikci</w:t>
      </w:r>
      <w:r w:rsidDel="00000000" w:rsidR="00000000" w:rsidRPr="00000000">
        <w:rPr>
          <w:rFonts w:ascii="Arial" w:cs="Arial" w:eastAsia="Arial" w:hAnsi="Arial"/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 </w:t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rxhk6wh1zgt5" w:id="5"/>
      <w:bookmarkEnd w:id="5"/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760410" cy="1447800"/>
            <wp:effectExtent b="0" l="0" r="0" t="0"/>
            <wp:docPr id="103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276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Obrázek 1 - Původní mapování mezi stavy a stupni provozu (zdroj autor)</w:t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g2f15um8sfb9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Stavy dopravního proudu (free, heavy, slow, queuing a stationary) se mírně liší od “stupňů provozu” používaných v ČR  (1-5, </w:t>
      </w:r>
      <w:hyperlink r:id="rId11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https://cs.wikipedia.org/wiki/Stupeň_provozu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). </w:t>
      </w:r>
      <w:r w:rsidDel="00000000" w:rsidR="00000000" w:rsidRPr="00000000">
        <w:rPr>
          <w:rFonts w:ascii="Arial" w:cs="Arial" w:eastAsia="Arial" w:hAnsi="Arial"/>
          <w:rtl w:val="0"/>
        </w:rPr>
        <w:t xml:space="preserve">Oba systémy používají 5-ti bodovou stupnici ale liší se ve významu 2. stupně, viz obrázek č. 1.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 Předmět normy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definuje aplikaci TPEG TFP „Aplikace pro informace o stavu dopravního proudu a jeho predikci“. Ta umožňuje distribuovat informace o stavu dopravy spolu s dopravními excesy pro předem definovanou sadu míst. Tato předem definovaná sada může být vysílána s nižší frekvencí než část aktualizované stavy dopravy, nemusí se tedy vždy jednat o klasickou předdefinovanou sadu poloh sdílenou off-line mezi poskytovatelem a odběratelem. Informace o stavu dopravního proudu jsou poskytovány několika způsoby od stavů na úsecích, přes časové „řezy“ sledů stavů na úsecích až po spojitý diagram dráha čas obsahující polygonové vyjádření stavů.</w:t>
      </w:r>
    </w:p>
    <w:p w:rsidR="00000000" w:rsidDel="00000000" w:rsidP="00000000" w:rsidRDefault="00000000" w:rsidRPr="00000000" w14:paraId="00000014">
      <w:pPr>
        <w:keepNext w:val="1"/>
        <w:keepLines w:val="1"/>
        <w:spacing w:after="60" w:before="200" w:line="276" w:lineRule="auto"/>
        <w:jc w:val="both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2 Souvisící normy</w:t>
      </w:r>
    </w:p>
    <w:p w:rsidR="00000000" w:rsidDel="00000000" w:rsidP="00000000" w:rsidRDefault="00000000" w:rsidRPr="00000000" w14:paraId="00000015">
      <w:pPr>
        <w:spacing w:after="12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Popisovaný dokument uvádí 11 normativních odkazů na normu TPEG2 ISO 21219 části 1-7,9,15,21 a 22. Klíčové normy jsou: geografické odkazování na polohu (21219-21, TPEG2-GLR) a odkazování na polohu metodou OpenLR (21219-22, TPEG2-OLR), dále kompaktní popis dopravních událostí (21219-15, TPEG2-TEC). Pro sestavení zpráv z kontejnerů, odvození z modelu UML, vysílání zpráv a řízení toku jsou použity další části normy TPEG (1-7,9). 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tyjcwt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definuje 3 termíny. Jedná se o definici kontejneru pro management zpráv (MMC),  kontejneru pro odkazování na polohu (LRC) a definici odkazování na polohu. Viz. Zkratky</w:t>
        <w:tab/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dy6vkm" w:id="8"/>
      <w:bookmarkEnd w:id="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odkazování na polohu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 Symboly a zkratky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stanovuje 20 zkratek, důležité z pohledu tohoto extraktu jsou: 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kontejner pro management zpráv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popis aplikace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(Application Data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LRC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odkazování na polohu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TFP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 o stavu dopravního proudu a jeho predikce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(Traffic Flow and Prediction)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UML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Unifikovaný modelovací jazyk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(Unified Modelling Language)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Podmínky a omezení aplikace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t3h5sf" w:id="9"/>
      <w:bookmarkEnd w:id="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7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kontejneru s dopravní aplikací (ADC) a kontejneru pro odkazování na polohu (LRC). </w:t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 (např. struktury „FlowVectorSection“).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 Struktura TFP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 obrázek,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obsahuje UML model aplikace TFP.</w:t>
      </w:r>
    </w:p>
    <w:p w:rsidR="00000000" w:rsidDel="00000000" w:rsidP="00000000" w:rsidRDefault="00000000" w:rsidRPr="00000000" w14:paraId="0000002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d34og8" w:id="10"/>
      <w:bookmarkEnd w:id="1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60085" cy="5294630"/>
            <wp:effectExtent b="0" l="0" r="0" t="0"/>
            <wp:docPr id="103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294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TFP (obrázek 2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7 Komponenty zprávy TFP</w:t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12 stran, obrázky a tabulky) popisuje jednotlivé komponenty zprávy TFP. </w:t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Stanovuje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několik různých struktur zprávy TFP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to z důvodů dvou rozdílných obsahů, popisu polohy a popisu stavu. Popis polohy v kontejneru pro odkazování na polohu (LRC) je potřeba méně často než popis stavu kontejneru s dopravní aplikací (ADC), vše je řízeno kontejnerem pro management zpráv (MMC). Stanoveny jsou tyto formy zprávy TFP, struktura obsahuje:</w:t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MMC, pro rušící zprávy,</w:t>
      </w:r>
    </w:p>
    <w:p w:rsidR="00000000" w:rsidDel="00000000" w:rsidP="00000000" w:rsidRDefault="00000000" w:rsidRPr="00000000" w14:paraId="00000032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MMC, několik ADC a jeden LRC v případě tzv. monolitického managementu zpráv</w:t>
      </w:r>
    </w:p>
    <w:p w:rsidR="00000000" w:rsidDel="00000000" w:rsidP="00000000" w:rsidRDefault="00000000" w:rsidRPr="00000000" w14:paraId="00000033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v případě tzv. managementu zpráv po částech:</w:t>
      </w:r>
    </w:p>
    <w:p w:rsidR="00000000" w:rsidDel="00000000" w:rsidP="00000000" w:rsidRDefault="00000000" w:rsidRPr="00000000" w14:paraId="00000034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 s rozcestníkem na části zpráv,</w:t>
      </w:r>
    </w:p>
    <w:p w:rsidR="00000000" w:rsidDel="00000000" w:rsidP="00000000" w:rsidRDefault="00000000" w:rsidRPr="00000000" w14:paraId="00000035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několik ADC,</w:t>
      </w:r>
    </w:p>
    <w:p w:rsidR="00000000" w:rsidDel="00000000" w:rsidP="00000000" w:rsidRDefault="00000000" w:rsidRPr="00000000" w14:paraId="00000036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7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jeden LRC.</w:t>
      </w:r>
    </w:p>
    <w:p w:rsidR="00000000" w:rsidDel="00000000" w:rsidP="00000000" w:rsidRDefault="00000000" w:rsidRPr="00000000" w14:paraId="0000003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Dále popisovaný dokument používá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 metody pro popis stavu dopravy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na sledované síti, ty mohou být použity současně či jednotlivě:</w:t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flow-polygon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03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flow-status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03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zjednodušení a zmenšení velikosti přenášených struktur je prostorové uspořádání stavů u metod flow-polygon 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odkazované pomocí staničení vůči počátku sledovaného úseku popsaného v LRC. LRC tak obsahuje jeden směr celého sledovaného úseku silniční sítě.</w:t>
      </w:r>
    </w:p>
    <w:p w:rsidR="00000000" w:rsidDel="00000000" w:rsidP="00000000" w:rsidRDefault="00000000" w:rsidRPr="00000000" w14:paraId="0000003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kapitole je stanoven obsah komponent:</w:t>
      </w:r>
    </w:p>
    <w:p w:rsidR="00000000" w:rsidDel="00000000" w:rsidP="00000000" w:rsidRDefault="00000000" w:rsidRPr="00000000" w14:paraId="0000003D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MMC je stanoven způsob řízení zpráv, po částech, monoliticky.</w:t>
      </w:r>
    </w:p>
    <w:p w:rsidR="00000000" w:rsidDel="00000000" w:rsidP="00000000" w:rsidRDefault="00000000" w:rsidRPr="00000000" w14:paraId="0000003E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LRC jsou povoleny jsou pouze liniové lokace.</w:t>
      </w:r>
    </w:p>
    <w:p w:rsidR="00000000" w:rsidDel="00000000" w:rsidP="00000000" w:rsidRDefault="00000000" w:rsidRPr="00000000" w14:paraId="0000003F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ADC jsou popsány všechny metody popisu stavu dopravy.</w:t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každou metodu je definována datová struktura, a pro její položky je stanoven typ, multiplicita a popis. Jednotlivé metody j</w:t>
      </w:r>
      <w:r w:rsidDel="00000000" w:rsidR="00000000" w:rsidRPr="00000000">
        <w:rPr>
          <w:rFonts w:ascii="Arial" w:cs="Arial" w:eastAsia="Arial" w:hAnsi="Arial"/>
          <w:rtl w:val="0"/>
        </w:rPr>
        <w:t xml:space="preserve">sou popsány níže.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Flow-Polygon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7.8 a 7.9 je popisována metoda flow-polygon, která modeluje stav dopravy v diagramu dráha čas pomocí několika prostorově-časových objektů „FlowPolygonObjects“,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Počátek platnosti se nachází v počátku osy souřadnic a časové souřadnice polygonů mohou ležet v minulosti či budoucnosti. Tato metoda implicitně pracuje s predikcí dopravního stavu.</w:t>
      </w:r>
    </w:p>
    <w:p w:rsidR="00000000" w:rsidDel="00000000" w:rsidP="00000000" w:rsidRDefault="00000000" w:rsidRPr="00000000" w14:paraId="00000043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5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2s8eyo1" w:id="11"/>
      <w:bookmarkEnd w:id="11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132580" cy="2736215"/>
            <wp:effectExtent b="0" l="0" r="0" t="0"/>
            <wp:docPr id="102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2580" cy="2736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flow-polygon (obrázek 4 normy)</w:t>
      </w:r>
    </w:p>
    <w:p w:rsidR="00000000" w:rsidDel="00000000" w:rsidP="00000000" w:rsidRDefault="00000000" w:rsidRPr="00000000" w14:paraId="0000004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7.10 je stanovena metoda flow-status, která popisuje stav dopravy v definovaném časovém intervalu na jednom konkrétním místě (sledovaném úseku silniční sítě stanoveném v LRC).</w:t>
      </w:r>
    </w:p>
    <w:p w:rsidR="00000000" w:rsidDel="00000000" w:rsidP="00000000" w:rsidRDefault="00000000" w:rsidRPr="00000000" w14:paraId="0000004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Flow-Matrix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7.11 je stanovena metoda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která popisuje stav dopravy pomocí několika stavů dopravy „FlowVector“ rozprostřených prostorově po sledovaném úseku silniční sítě stanoveném v LRC. „FlowMatrix“ se poté skládá z několika těchto prostorových úseků každý popisující stav v konkrétním čase, např. po 15ti minutách,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7dp8vu" w:id="12"/>
      <w:bookmarkEnd w:id="1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655185" cy="2903220"/>
            <wp:effectExtent b="0" l="0" r="0" t="0"/>
            <wp:docPr id="103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5185" cy="29032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 matrix popisující jeden úsek silniční sítě ve čtyřech různých časech (obrázek 5 normy)</w:t>
      </w:r>
    </w:p>
    <w:p w:rsidR="00000000" w:rsidDel="00000000" w:rsidP="00000000" w:rsidRDefault="00000000" w:rsidRPr="00000000" w14:paraId="0000004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Prostorové umístění stavů dopravy je na síti vytvořeno pomocí offsetů vůči referenčnímu bodu, kterým je konec sledovaného úseku ve směru dopravního proudu. Tato metoda umožňuje popisovat jednotlivé jízdní pruhy i další komunikace, které se připojují, resp. odpojují od popisovaného úseku.</w:t>
      </w:r>
    </w:p>
    <w:p w:rsidR="00000000" w:rsidDel="00000000" w:rsidP="00000000" w:rsidRDefault="00000000" w:rsidRPr="00000000" w14:paraId="0000004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Datové typy TFP</w:t>
      </w:r>
    </w:p>
    <w:p w:rsidR="00000000" w:rsidDel="00000000" w:rsidP="00000000" w:rsidRDefault="00000000" w:rsidRPr="00000000" w14:paraId="0000004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6 stran) obsahuje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použitých datových struktur (typů).  Na obrázku níže (Obrázek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je, pro ilustraci obsahu a sloupců, uvedena část tabulky popisující datovou strukturu StatusParameters.</w:t>
      </w:r>
    </w:p>
    <w:p w:rsidR="00000000" w:rsidDel="00000000" w:rsidP="00000000" w:rsidRDefault="00000000" w:rsidRPr="00000000" w14:paraId="0000004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rdcrjn" w:id="13"/>
      <w:bookmarkEnd w:id="1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53735" cy="2731770"/>
            <wp:effectExtent b="0" l="0" r="0" t="0"/>
            <wp:docPr id="103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27317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části struktury StatusParametes (část tabulky 11 5 normy)</w:t>
      </w:r>
    </w:p>
    <w:p w:rsidR="00000000" w:rsidDel="00000000" w:rsidP="00000000" w:rsidRDefault="00000000" w:rsidRPr="00000000" w14:paraId="0000005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Fonts w:ascii="Arial" w:cs="Arial" w:eastAsia="Arial" w:hAnsi="Arial"/>
          <w:rtl w:val="0"/>
        </w:rPr>
        <w:t xml:space="preserve">tj.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5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26in1rg" w:id="14"/>
      <w:bookmarkEnd w:id="14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stanovených datových typů (zdroj: autor extraktu)</w:t>
      </w:r>
    </w:p>
    <w:tbl>
      <w:tblPr>
        <w:tblStyle w:val="Table2"/>
        <w:tblW w:w="9045.0" w:type="dxa"/>
        <w:jc w:val="left"/>
        <w:tblInd w:w="115.99999999999999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Struktura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PolygonPoint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Prostoro-časový bod v objektu „flowPolygon“. Skládající se z časového a prostorového odsazení od počátku osy.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FlowVectorSection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 na určitém úseku silniční sítě obsahující mj. i níže uvedené datové typy (struktury)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dopravy, min. stupně dopravy či průměrná rychlost či zdržení. 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Restrikce pro konkrétní typy vozidel na konkrétní jízdní pruhy segmentu silniční sítě.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Statistické parametry a kvalita odhadu informace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Odkaz na příčinu specifikovanou v jiné zprávě TPEG</w:t>
            </w:r>
          </w:p>
        </w:tc>
      </w:tr>
    </w:tbl>
    <w:p w:rsidR="00000000" w:rsidDel="00000000" w:rsidP="00000000" w:rsidRDefault="00000000" w:rsidRPr="00000000" w14:paraId="0000006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lnxbz9" w:id="15"/>
      <w:bookmarkEnd w:id="15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 Tabulky TFP</w:t>
      </w:r>
    </w:p>
    <w:p w:rsidR="00000000" w:rsidDel="00000000" w:rsidP="00000000" w:rsidRDefault="00000000" w:rsidRPr="00000000" w14:paraId="0000006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11 stran) obsahuje definice výčtových typů aplikace TFP (v 8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6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iykewot5vw7m" w:id="16"/>
      <w:bookmarkEnd w:id="16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2 - Seznam tabulek TFP (výčtů hodnot) (zdroj: autor extraktu)</w:t>
      </w:r>
    </w:p>
    <w:tbl>
      <w:tblPr>
        <w:tblStyle w:val="Table3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tfp001: VehicleClass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vozidel.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př.:010:trailer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tfp002: VehicleCredentials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tříd vozidel dle privilegií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disabled pass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nger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tfp003: LevelOfService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(48) popisů plynulosti dopravy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048: wide moving jam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tfp004: SpatialResolution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přesnosti použité lokalizace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002:50-m-resolution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tfp005:laneRestriction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kombinací jízdních pruhů určených pro dané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008: driving lane 8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tfp006: CauseCode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příčin (68)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002:accident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tfp007: SectionType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úseků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002:exit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tfp008: FlowDataQuality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úrovní kvality informace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Př: 005:high</w:t>
            </w:r>
          </w:p>
        </w:tc>
      </w:tr>
    </w:tbl>
    <w:p w:rsidR="00000000" w:rsidDel="00000000" w:rsidP="00000000" w:rsidRDefault="00000000" w:rsidRPr="00000000" w14:paraId="0000007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Následující tabulka obsahuje ukázku tabulky „tfp006:CauseCode” z popisovaného dokumentu.</w:t>
      </w:r>
    </w:p>
    <w:p w:rsidR="00000000" w:rsidDel="00000000" w:rsidP="00000000" w:rsidRDefault="00000000" w:rsidRPr="00000000" w14:paraId="0000008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17"/>
      <w:bookmarkEnd w:id="1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tfp006:CauseCode (nečíslovaná část)</w:t>
      </w:r>
    </w:p>
    <w:tbl>
      <w:tblPr>
        <w:tblStyle w:val="Table4"/>
        <w:tblW w:w="9045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36"/>
        <w:tblGridChange w:id="0">
          <w:tblGrid>
            <w:gridCol w:w="2519"/>
            <w:gridCol w:w="3690"/>
            <w:gridCol w:w="283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dopravní kongesce (traffic congestion)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…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případě nehody</w:t>
            </w:r>
          </w:p>
        </w:tc>
      </w:tr>
    </w:tbl>
    <w:p w:rsidR="00000000" w:rsidDel="00000000" w:rsidP="00000000" w:rsidRDefault="00000000" w:rsidRPr="00000000" w14:paraId="0000008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5nkun2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A (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TPEG-bin reprezentace TFP</w:t>
      </w:r>
    </w:p>
    <w:p w:rsidR="00000000" w:rsidDel="00000000" w:rsidP="00000000" w:rsidRDefault="00000000" w:rsidRPr="00000000" w14:paraId="0000008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ksv4uv" w:id="19"/>
      <w:bookmarkEnd w:id="1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pro informace o stavu dopravního proudu a jeho predikci (TFP)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8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4sinio" w:id="20"/>
      <w:bookmarkEnd w:id="2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TFP a jejích součástí, prvků určených pro budoucí rozšíření a datových typů. Dále obsahuje identifikátory komponent zprávy a vysvětlení použití obecných atributů TPEG. Příklad pseudokódu binární specifikace elementu FlowStatus je uveden v následující tabulce.</w:t>
      </w:r>
    </w:p>
    <w:p w:rsidR="00000000" w:rsidDel="00000000" w:rsidP="00000000" w:rsidRDefault="00000000" w:rsidRPr="00000000" w14:paraId="0000009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y0ayy7lgb8no" w:id="21"/>
      <w:bookmarkEnd w:id="2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4 - Příklad pseudokódu binární specifikace elementu FlowStatus (nečíslovaná část)</w:t>
      </w:r>
    </w:p>
    <w:tbl>
      <w:tblPr>
        <w:tblStyle w:val="Table5"/>
        <w:tblW w:w="928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35"/>
        <w:gridCol w:w="5850"/>
        <w:tblGridChange w:id="0">
          <w:tblGrid>
            <w:gridCol w:w="3435"/>
            <w:gridCol w:w="5850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&lt;FlowStatus(5)&lt;TFPMethod(5)&gt;&gt;:=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IntUnTi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&gt;(5),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&gt;(lengthComp),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&gt;(lengthAttr),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atributech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&gt;(startTime),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Začátek časového období, po které je poskytovaný obsah platný.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BitArray(selector),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0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&gt;(duration);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Délka [min] časového období, po které je poskytovaný obsah platný. Období začíná v „startTime“ a končí v „startTime“ + „trvání“. Tento atribut musí být používán komponentou „PolygonFlowObject“ a může být použit i jinde.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&gt;(status),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Atributy popisující stav provozu na daném místě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1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&gt;(restriction),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Informace o omezeních souvisejících se stavem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2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&gt;(statistics),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Statistické informace týkající se stavu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3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&lt;tfp006:CauseCode&gt;(cause),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Tento atribut může přidat jednoduchou příčinu pro hlášený stav dopravního proudu; tento parametr se vynechá, pokud je k dispozici podrobná externí zpráva (viz atribut „propojená příčina“)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4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&gt;(detailedCause);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Podrobná příčina může být nahlášena propojenou zprávou (např. Zprávou TEC)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B (normativní) TPEG-ML reprezentace TFP</w:t>
      </w:r>
    </w:p>
    <w:p w:rsidR="00000000" w:rsidDel="00000000" w:rsidP="00000000" w:rsidRDefault="00000000" w:rsidRPr="00000000" w14:paraId="000000B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obsahuje nejprve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samostatně uvedené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XML schéma rámce TPEG, dále zprávy TFP a jejích součástí, prvků určených pro budoucí rozšíření, datových typů a tabulek TFP (definovaných jako xs:complexType), viz příklad na obrázku níže. Následně uvádí vše výše zmíněné v jednom funkčním XML schématu. </w:t>
      </w:r>
    </w:p>
    <w:tbl>
      <w:tblPr>
        <w:tblStyle w:val="Table6"/>
        <w:tblW w:w="921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&lt;xs:complexType name="FlowMatrix"&gt;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&lt;xs:sequence&gt;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name="startTime" type="tdt:DateTime"/&gt;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name="duration" type="tdt:IntUnLoMB" minOccurs="0"/&gt;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name="spatialResolution" type="tfp004_SpatialResolution"/&gt;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name="vectors" type="FlowVector" maxOccurs="unbounded"/&gt;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&lt;/xs:sequence&gt;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&lt;/xs:complexType&gt;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Výstřižek schématu XSD stanovujícího strukturu elementu FlowMatrix</w:t>
      </w:r>
    </w:p>
    <w:p w:rsidR="00000000" w:rsidDel="00000000" w:rsidP="00000000" w:rsidRDefault="00000000" w:rsidRPr="00000000" w14:paraId="000000B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C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uvádí dva, v textu použité, odkazy na normy, první na TPEG2-INV a druhý na definici UML.</w:t>
      </w:r>
    </w:p>
    <w:sectPr>
      <w:footerReference r:id="rId17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76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adpis1">
    <w:name w:val="Nadpis 1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6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2">
    <w:name w:val="Nadpis 2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36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36"/>
      <w:szCs w:val="36"/>
      <w:effect w:val="none"/>
      <w:vertAlign w:val="baseline"/>
      <w:cs w:val="0"/>
      <w:em w:val="none"/>
      <w:lang w:bidi="hi-IN" w:eastAsia="hi-IN" w:val="cs-CZ"/>
    </w:rPr>
  </w:style>
  <w:style w:type="paragraph" w:styleId="Nadpis3">
    <w:name w:val="Nadpis 3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28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Nadpis4">
    <w:name w:val="Nadpis 4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Nadpis5">
    <w:name w:val="Nadpis 5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6">
    <w:name w:val="Nadpis 6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0"/>
      <w:szCs w:val="20"/>
      <w:effect w:val="none"/>
      <w:vertAlign w:val="baseline"/>
      <w:cs w:val="0"/>
      <w:em w:val="none"/>
      <w:lang w:bidi="hi-IN" w:eastAsia="hi-IN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Normálnítabulka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u w:val="none"/>
      <w:effect w:val="none"/>
      <w:vertAlign w:val="baseline"/>
      <w:cs w:val="0"/>
      <w:em w:val="none"/>
      <w:lang/>
    </w:rPr>
  </w:style>
  <w:style w:type="character" w:styleId="Odrážky">
    <w:name w:val="Odrážky"/>
    <w:next w:val="Odrážky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paragraph" w:styleId="Nadpis">
    <w:name w:val="Nadpis"/>
    <w:basedOn w:val="Normální"/>
    <w:next w:val="Základnítext"/>
    <w:autoRedefine w:val="0"/>
    <w:hidden w:val="0"/>
    <w:qFormat w:val="0"/>
    <w:pPr>
      <w:keepNext w:val="1"/>
      <w:suppressAutoHyphens w:val="0"/>
      <w:spacing w:after="12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Microsoft YaHei" w:hAnsi="Arial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Seznam">
    <w:name w:val="Seznam"/>
    <w:basedOn w:val="Základnítext"/>
    <w:next w:val="Seznam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Popisek">
    <w:name w:val="Popisek"/>
    <w:basedOn w:val="Normální"/>
    <w:next w:val="Popisek"/>
    <w:autoRedefine w:val="0"/>
    <w:hidden w:val="0"/>
    <w:qFormat w:val="0"/>
    <w:pPr>
      <w:suppressLineNumbers w:val="1"/>
      <w:suppressAutoHyphens w:val="0"/>
      <w:spacing w:after="120" w:before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i w:val="1"/>
      <w:iCs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Rejstřík">
    <w:name w:val="Rejstřík"/>
    <w:basedOn w:val="Normální"/>
    <w:next w:val="Rejstřík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al">
    <w:name w:val="normal"/>
    <w:next w:val="normal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ázev">
    <w:name w:val="Název"/>
    <w:basedOn w:val="normal"/>
    <w:next w:val="Podnadpis"/>
    <w:autoRedefine w:val="0"/>
    <w:hidden w:val="0"/>
    <w:qFormat w:val="0"/>
    <w:pPr>
      <w:keepNext w:val="1"/>
      <w:keepLines w:val="1"/>
      <w:widowControl w:val="0"/>
      <w:numPr>
        <w:ilvl w:val="0"/>
        <w:numId w:val="0"/>
      </w:numPr>
      <w:tabs>
        <w:tab w:val="left" w:leader="none" w:pos="7080"/>
        <w:tab w:val="right" w:leader="none" w:pos="9923"/>
      </w:tabs>
      <w:suppressAutoHyphens w:val="0"/>
      <w:spacing w:after="6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1"/>
      <w:bCs w:val="1"/>
      <w:color w:val="000000"/>
      <w:w w:val="100"/>
      <w:position w:val="-1"/>
      <w:sz w:val="40"/>
      <w:szCs w:val="40"/>
      <w:effect w:val="none"/>
      <w:vertAlign w:val="baseline"/>
      <w:cs w:val="0"/>
      <w:em w:val="none"/>
      <w:lang w:bidi="hi-IN" w:eastAsia="hi-IN" w:val="cs-CZ"/>
    </w:rPr>
  </w:style>
  <w:style w:type="paragraph" w:styleId="Podnadpis">
    <w:name w:val="Podnadpis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0" w:before="180" w:line="10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cs="Arial" w:eastAsia="Arial" w:hAnsi="Arial"/>
      <w:b w:val="1"/>
      <w:i w:val="1"/>
      <w:iCs w:val="1"/>
      <w:color w:val="000000"/>
      <w:w w:val="100"/>
      <w:position w:val="-1"/>
      <w:sz w:val="32"/>
      <w:szCs w:val="32"/>
      <w:effect w:val="none"/>
      <w:vertAlign w:val="baseline"/>
      <w:cs w:val="0"/>
      <w:em w:val="none"/>
      <w:lang w:bidi="hi-IN" w:eastAsia="hi-IN" w:val="cs-CZ"/>
    </w:rPr>
  </w:style>
  <w:style w:type="paragraph" w:styleId="Zápatí">
    <w:name w:val="Zápatí"/>
    <w:basedOn w:val="Normální"/>
    <w:next w:val="Zápatí"/>
    <w:autoRedefine w:val="0"/>
    <w:hidden w:val="0"/>
    <w:qFormat w:val="0"/>
    <w:pPr>
      <w:suppressLineNumbers w:val="1"/>
      <w:tabs>
        <w:tab w:val="center" w:leader="none" w:pos="4819"/>
        <w:tab w:val="right" w:leader="none" w:pos="9638"/>
      </w:tabs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ListParagraph">
    <w:name w:val="List Paragraph"/>
    <w:basedOn w:val="Normální"/>
    <w:next w:val="ListParagraph"/>
    <w:autoRedefine w:val="0"/>
    <w:hidden w:val="0"/>
    <w:qFormat w:val="0"/>
    <w:pPr>
      <w:numPr>
        <w:ilvl w:val="0"/>
        <w:numId w:val="0"/>
      </w:numPr>
      <w:suppressAutoHyphens w:val="0"/>
      <w:spacing w:after="120" w:line="276" w:lineRule="auto"/>
      <w:ind w:left="720" w:right="0"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caption">
    <w:name w:val="caption"/>
    <w:basedOn w:val="Normální"/>
    <w:next w:val="Normální"/>
    <w:autoRedefine w:val="0"/>
    <w:hidden w:val="0"/>
    <w:qFormat w:val="0"/>
    <w:pPr>
      <w:numPr>
        <w:ilvl w:val="0"/>
        <w:numId w:val="0"/>
      </w:numPr>
      <w:suppressAutoHyphens w:val="0"/>
      <w:spacing w:after="20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0"/>
      <w:bCs w:val="1"/>
      <w:color w:val="000000"/>
      <w:w w:val="100"/>
      <w:position w:val="-1"/>
      <w:sz w:val="18"/>
      <w:szCs w:val="18"/>
      <w:effect w:val="none"/>
      <w:vertAlign w:val="baseline"/>
      <w:cs w:val="0"/>
      <w:em w:val="none"/>
      <w:lang w:bidi="hi-IN" w:eastAsia="hi-IN" w:val="cs-CZ"/>
    </w:rPr>
  </w:style>
  <w:style w:type="paragraph" w:styleId="Obsahtabulky">
    <w:name w:val="Obsah tabulky"/>
    <w:basedOn w:val="Normální"/>
    <w:next w:val="Obsahtabulky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ální(web)">
    <w:name w:val="Normální (web)"/>
    <w:basedOn w:val="Normální"/>
    <w:next w:val="Normální(web)"/>
    <w:autoRedefine w:val="0"/>
    <w:hidden w:val="0"/>
    <w:qFormat w:val="1"/>
    <w:pPr>
      <w:suppressAutoHyphens w:val="1"/>
      <w:spacing w:after="100" w:afterAutospacing="1" w:before="100" w:beforeAutospacing="1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Times New Roman" w:cs="Times New Roman" w:eastAsia="Times New Roman" w:hAnsi="Times New Roman"/>
      <w:color w:val="auto"/>
      <w:w w:val="10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table" w:styleId="Mřížkatabulky">
    <w:name w:val="Mřížka tabulky"/>
    <w:basedOn w:val="Normálnítabulka"/>
    <w:next w:val="Mřížkatabulk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Mřížkatabulky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cs.wikipedia.org/wiki/Stupe%C5%88_provozu" TargetMode="External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hyperlink" Target="http://www.itsterminology.org" TargetMode="External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7" Type="http://schemas.openxmlformats.org/officeDocument/2006/relationships/footer" Target="footer1.xml"/><Relationship Id="rId16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N7y/XPNQcJe9f9VxPKA2fbMO/8A==">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