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1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80"/>
          <w:tab w:val="right" w:leader="none" w:pos="9923"/>
        </w:tabs>
        <w:spacing w:after="60" w:lineRule="auto"/>
        <w:ind w:left="2" w:hanging="4"/>
        <w:jc w:val="center"/>
        <w:rPr>
          <w:b w:val="1"/>
          <w:color w:val="000000"/>
          <w:sz w:val="40"/>
          <w:szCs w:val="40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000000"/>
          <w:sz w:val="40"/>
          <w:szCs w:val="40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leftMargin">
              <wp:posOffset>0</wp:posOffset>
            </wp:positionH>
            <wp:positionV relativeFrom="topMargin">
              <wp:posOffset>-449576</wp:posOffset>
            </wp:positionV>
            <wp:extent cx="75565" cy="151765"/>
            <wp:effectExtent b="0" l="0" r="0" t="0"/>
            <wp:wrapSquare wrapText="bothSides" distB="0" distT="0" distL="114300" distR="114300"/>
            <wp:docPr id="104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" cy="1517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color w:val="000000"/>
          <w:sz w:val="40"/>
          <w:szCs w:val="40"/>
          <w:rtl w:val="0"/>
        </w:rPr>
        <w:t xml:space="preserve">EXTRAKT z technické specifikace ISO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hanging="2"/>
        <w:rPr>
          <w:color w:val="000000"/>
          <w:sz w:val="16"/>
          <w:szCs w:val="16"/>
        </w:rPr>
      </w:pPr>
      <w:bookmarkStart w:colFirst="0" w:colLast="0" w:name="_heading=h.30j0zll" w:id="1"/>
      <w:bookmarkEnd w:id="1"/>
      <w:r w:rsidDel="00000000" w:rsidR="00000000" w:rsidRPr="00000000">
        <w:rPr>
          <w:b w:val="1"/>
          <w:color w:val="000000"/>
          <w:rtl w:val="0"/>
        </w:rPr>
        <w:t xml:space="preserve">Extrakt nenahrazuje samotnou technickou normu, je pouze informativním materiálem o normě.</w:t>
      </w: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131.0" w:type="dxa"/>
        <w:tblLayout w:type="fixed"/>
        <w:tblLook w:val="0000"/>
      </w:tblPr>
      <w:tblGrid>
        <w:gridCol w:w="6764"/>
        <w:gridCol w:w="2266"/>
        <w:tblGridChange w:id="0">
          <w:tblGrid>
            <w:gridCol w:w="6764"/>
            <w:gridCol w:w="2266"/>
          </w:tblGrid>
        </w:tblGridChange>
      </w:tblGrid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80" w:before="180" w:line="340" w:lineRule="auto"/>
              <w:ind w:left="1" w:right="567" w:hanging="3"/>
              <w:jc w:val="left"/>
              <w:rPr>
                <w:b w:val="1"/>
                <w:color w:val="000000"/>
                <w:sz w:val="28"/>
                <w:szCs w:val="28"/>
              </w:rPr>
            </w:pPr>
            <w:bookmarkStart w:colFirst="0" w:colLast="0" w:name="_heading=h.b7ixhhvdct0t" w:id="2"/>
            <w:bookmarkEnd w:id="2"/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Inteligentní dopravní systémy –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Dopravní a cestovní informace (TTI) v dopravním protokolu expertní skupiny, druhá generace (TPEG2) - Část 19: Aplikace pro informace o počasí (TPEG2-WEA)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80" w:lineRule="auto"/>
              <w:ind w:left="1" w:hanging="3"/>
              <w:jc w:val="right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sz w:val="32"/>
                <w:szCs w:val="32"/>
                <w:rtl w:val="0"/>
              </w:rPr>
              <w:t xml:space="preserve">ISO/TS 21219-19</w:t>
            </w: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ind w:left="0" w:hanging="2"/>
              <w:jc w:val="righ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ind w:left="1" w:hanging="3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01 8259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before="240" w:lineRule="auto"/>
        <w:ind w:left="1" w:hanging="3"/>
        <w:jc w:val="right"/>
        <w:rPr>
          <w:color w:val="000000"/>
        </w:rPr>
      </w:pPr>
      <w:bookmarkStart w:colFirst="0" w:colLast="0" w:name="_heading=h.1fob9te" w:id="3"/>
      <w:bookmarkEnd w:id="3"/>
      <w:r w:rsidDel="00000000" w:rsidR="00000000" w:rsidRPr="00000000">
        <w:rPr>
          <w:color w:val="000000"/>
          <w:sz w:val="28"/>
          <w:szCs w:val="28"/>
          <w:rtl w:val="0"/>
        </w:rPr>
        <w:t xml:space="preserve">Vydána 2016, 60 stran</w:t>
      </w:r>
      <w:r w:rsidDel="00000000" w:rsidR="00000000" w:rsidRPr="00000000">
        <w:rPr>
          <w:sz w:val="28"/>
          <w:szCs w:val="28"/>
          <w:rtl w:val="0"/>
        </w:rPr>
        <w:t xml:space="preserve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/>
        <w:tab/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ind w:left="0" w:hanging="2"/>
        <w:rPr/>
      </w:pPr>
      <w:bookmarkStart w:colFirst="0" w:colLast="0" w:name="_heading=h.k2jf97lkp7ge" w:id="4"/>
      <w:bookmarkEnd w:id="4"/>
      <w:r w:rsidDel="00000000" w:rsidR="00000000" w:rsidRPr="00000000">
        <w:rPr>
          <w:rtl w:val="0"/>
        </w:rPr>
        <w:t xml:space="preserve">Úvod</w:t>
      </w:r>
    </w:p>
    <w:p w:rsidR="00000000" w:rsidDel="00000000" w:rsidP="00000000" w:rsidRDefault="00000000" w:rsidRPr="00000000" w14:paraId="00000009">
      <w:pPr>
        <w:ind w:left="0" w:hanging="2"/>
        <w:rPr/>
      </w:pPr>
      <w:r w:rsidDel="00000000" w:rsidR="00000000" w:rsidRPr="00000000">
        <w:rPr>
          <w:rtl w:val="0"/>
        </w:rPr>
        <w:t xml:space="preserve">Technická specifikace ISO 21219 stanovuje formát a protokol TPEG určený pro poskytování informací o dopravě koncovým uživatelům. TPEG je určen pro média s vysokou přenosovou kapacitou, umožňuje informace členit strukturovaně se zvyšující se mírou detailů a komplexně popisovat polohu. </w:t>
      </w:r>
    </w:p>
    <w:p w:rsidR="00000000" w:rsidDel="00000000" w:rsidP="00000000" w:rsidRDefault="00000000" w:rsidRPr="00000000" w14:paraId="0000000A">
      <w:pPr>
        <w:ind w:left="0" w:hanging="2"/>
        <w:rPr/>
      </w:pPr>
      <w:r w:rsidDel="00000000" w:rsidR="00000000" w:rsidRPr="00000000">
        <w:rPr>
          <w:rtl w:val="0"/>
        </w:rPr>
        <w:t xml:space="preserve">Jednotlivé oblasti dopravních událostí jsou v TPEG popsány odděleně, pomocí platformě nezávislého modelu (UML) a dvou odvozených platformě závislých modelů (binární a XML). Části specifikace stanovují pravidla tvorby modelu a jeho převodu do platformě závislé podoby. </w:t>
      </w:r>
    </w:p>
    <w:p w:rsidR="00000000" w:rsidDel="00000000" w:rsidP="00000000" w:rsidRDefault="00000000" w:rsidRPr="00000000" w14:paraId="0000000B">
      <w:pPr>
        <w:ind w:left="0" w:hanging="2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Více informací o kontextu TPEG je obsaženo v úvodu extraktu k části 1 normy TPEG (21219-1).</w:t>
      </w:r>
    </w:p>
    <w:p w:rsidR="00000000" w:rsidDel="00000000" w:rsidP="00000000" w:rsidRDefault="00000000" w:rsidRPr="00000000" w14:paraId="0000000C">
      <w:pPr>
        <w:ind w:left="0" w:hanging="2"/>
        <w:rPr/>
      </w:pPr>
      <w:r w:rsidDel="00000000" w:rsidR="00000000" w:rsidRPr="00000000">
        <w:rPr>
          <w:rtl w:val="0"/>
        </w:rPr>
        <w:t xml:space="preserve">Technická specifikace ISO 21219 se zabývá druhou generací protokolu TPEG, označovaným zkratkou TPEG2. Rozlišení TPEG/TPEG1/TPEG2 se většinou uvádí pouze v úvodní části norem/specifikací, zatímco ostatní kapitoly již mezi TPEG a TPEG2 nerozlišují – to je implicitní dle kontextu. </w:t>
      </w:r>
    </w:p>
    <w:p w:rsidR="00000000" w:rsidDel="00000000" w:rsidP="00000000" w:rsidRDefault="00000000" w:rsidRPr="00000000" w14:paraId="0000000D">
      <w:pPr>
        <w:ind w:left="0" w:hanging="2"/>
        <w:rPr/>
      </w:pPr>
      <w:r w:rsidDel="00000000" w:rsidR="00000000" w:rsidRPr="00000000">
        <w:rPr>
          <w:rtl w:val="0"/>
        </w:rPr>
        <w:t xml:space="preserve">Tento extrakt (dále jen “popisovaný dokument”) popisuje část 19 normy TPEG „Aplikace pro informace o počasí (TPEG2-WEA)”, která popisuje kódování různě rozsáhlých zpráv o počasí.</w:t>
      </w:r>
    </w:p>
    <w:p w:rsidR="00000000" w:rsidDel="00000000" w:rsidP="00000000" w:rsidRDefault="00000000" w:rsidRPr="00000000" w14:paraId="00000009">
      <w:pPr>
        <w:ind w:left="0" w:hanging="2"/>
        <w:rPr/>
      </w:pPr>
      <w:r>
        <w:rPr>
          <w:rtl w:val="0"/>
        </w:rPr>
        <w:t xml:space="preserve">Poznámka: Extrakt uvádí vybrané kapitoly popisovaného dokumentu a přejímá původní číslování kapitol.</w:t>
      </w:r>
    </w:p>
    <w:p w:rsidR="00000000" w:rsidDel="00000000" w:rsidP="00000000" w:rsidRDefault="00000000" w:rsidRPr="00000000" w14:paraId="0000000F">
      <w:pPr>
        <w:pStyle w:val="Heading1"/>
        <w:ind w:left="0" w:hanging="2"/>
        <w:rPr/>
      </w:pPr>
      <w:bookmarkStart w:colFirst="0" w:colLast="0" w:name="_heading=h.p5uplw5j229a" w:id="6"/>
      <w:bookmarkEnd w:id="6"/>
      <w:r w:rsidDel="00000000" w:rsidR="00000000" w:rsidRPr="00000000">
        <w:rPr>
          <w:rtl w:val="0"/>
        </w:rPr>
        <w:t xml:space="preserve">Užití</w:t>
      </w:r>
    </w:p>
    <w:p w:rsidR="00000000" w:rsidDel="00000000" w:rsidP="00000000" w:rsidRDefault="00000000" w:rsidRPr="00000000" w14:paraId="00000010">
      <w:pPr>
        <w:ind w:left="0" w:hanging="2"/>
        <w:rPr/>
      </w:pPr>
      <w:bookmarkStart w:colFirst="0" w:colLast="0" w:name="_heading=h.2et92p0" w:id="7"/>
      <w:bookmarkEnd w:id="7"/>
      <w:r w:rsidDel="00000000" w:rsidR="00000000" w:rsidRPr="00000000">
        <w:rPr>
          <w:rtl w:val="0"/>
        </w:rPr>
        <w:t xml:space="preserve">Popisovaný dokument stanovuje způsob poskytování informací o počasí. Počítá s prezentací těchto informací uživateli. Obsahuje významné množství výčtů (tabulek) stanovujících typy počasí a také převodník mezi těmito tabulkami a kódy WMO SYNOP. Je nezbytný pro analytiky provozovatele služby o počasí a pro analytiky výrobce uživatelského terminálu (aplikace), kteří mají na starost návrh datového modelu systému a návrh pravidel, se kterými systém pracuje. Použije se při návrhu systému. </w:t>
      </w:r>
    </w:p>
    <w:p w:rsidR="00000000" w:rsidDel="00000000" w:rsidP="00000000" w:rsidRDefault="00000000" w:rsidRPr="00000000" w14:paraId="00000013">
      <w:pPr>
        <w:pStyle w:val="Heading1"/>
        <w:ind w:left="0" w:hanging="2"/>
        <w:rPr/>
      </w:pPr>
      <w:bookmarkStart w:colFirst="0" w:colLast="0" w:name="_heading=h.exlj16mcv1lp" w:id="10"/>
      <w:bookmarkEnd w:id="10"/>
      <w:r w:rsidDel="00000000" w:rsidR="00000000" w:rsidRPr="00000000">
        <w:rPr>
          <w:rtl w:val="0"/>
        </w:rPr>
        <w:t xml:space="preserve">1 Předmět normy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Popisovaný dokument definuje aplikaci TPEG </w:t>
      </w:r>
      <w:r w:rsidDel="00000000" w:rsidR="00000000" w:rsidRPr="00000000">
        <w:rPr>
          <w:rtl w:val="0"/>
        </w:rPr>
        <w:t xml:space="preserve">WEA</w:t>
      </w:r>
      <w:r w:rsidDel="00000000" w:rsidR="00000000" w:rsidRPr="00000000">
        <w:rPr>
          <w:color w:val="000000"/>
          <w:rtl w:val="0"/>
        </w:rPr>
        <w:t xml:space="preserve"> „</w:t>
      </w:r>
      <w:r w:rsidDel="00000000" w:rsidR="00000000" w:rsidRPr="00000000">
        <w:rPr>
          <w:rtl w:val="0"/>
        </w:rPr>
        <w:t xml:space="preserve">Aplikace pro informace o počasí</w:t>
      </w:r>
      <w:r w:rsidDel="00000000" w:rsidR="00000000" w:rsidRPr="00000000">
        <w:rPr>
          <w:color w:val="000000"/>
          <w:rtl w:val="0"/>
        </w:rPr>
        <w:t xml:space="preserve">“.</w:t>
      </w:r>
      <w:r w:rsidDel="00000000" w:rsidR="00000000" w:rsidRPr="00000000">
        <w:rPr>
          <w:rtl w:val="0"/>
        </w:rPr>
        <w:t xml:space="preserve"> Ta</w:t>
      </w:r>
      <w:r w:rsidDel="00000000" w:rsidR="00000000" w:rsidRPr="00000000">
        <w:rPr>
          <w:color w:val="000000"/>
          <w:rtl w:val="0"/>
        </w:rPr>
        <w:t xml:space="preserve"> umožňuje poskytování informací o počasí pro různé geografické oblasti (i hierarchicky propojené) v různém časovém horizontu. Informace o počasí mohou být velmi detailní. Tyto informace jsou určeny obecně cestujícím a nejsou omezeny módem dopravy ani není jejich cílem poskytnout varování o nebezpečné povětrnostní situaci řidičům, k tomu je určena </w:t>
      </w:r>
      <w:r w:rsidDel="00000000" w:rsidR="00000000" w:rsidRPr="00000000">
        <w:rPr>
          <w:color w:val="000000"/>
          <w:rtl w:val="0"/>
        </w:rPr>
        <w:t xml:space="preserve">jiná aplikace TPEG</w:t>
      </w:r>
      <w:r w:rsidDel="00000000" w:rsidR="00000000" w:rsidRPr="00000000">
        <w:rPr>
          <w:color w:val="000000"/>
          <w:rtl w:val="0"/>
        </w:rPr>
        <w:t xml:space="preserve"> (</w:t>
      </w:r>
      <w:r w:rsidDel="00000000" w:rsidR="00000000" w:rsidRPr="00000000">
        <w:rPr>
          <w:rtl w:val="0"/>
        </w:rPr>
        <w:t xml:space="preserve">TPEG-TEC, 21219-15)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1"/>
        <w:ind w:left="0" w:hanging="2"/>
        <w:rPr/>
      </w:pPr>
      <w:bookmarkStart w:colFirst="0" w:colLast="0" w:name="_heading=h.8kdf5wup1at0" w:id="8"/>
      <w:bookmarkEnd w:id="8"/>
      <w:r w:rsidDel="00000000" w:rsidR="00000000" w:rsidRPr="00000000">
        <w:rPr>
          <w:rtl w:val="0"/>
        </w:rPr>
        <w:t xml:space="preserve">2 Souvisící normy</w:t>
      </w:r>
    </w:p>
    <w:p w:rsidR="00000000" w:rsidDel="00000000" w:rsidP="00000000" w:rsidRDefault="00000000" w:rsidRPr="00000000" w14:paraId="00000012">
      <w:pPr>
        <w:ind w:left="0" w:hanging="2"/>
        <w:rPr/>
      </w:pPr>
      <w:bookmarkStart w:colFirst="0" w:colLast="0" w:name="_heading=h.2s8eyo1" w:id="9"/>
      <w:bookmarkEnd w:id="9"/>
      <w:r w:rsidDel="00000000" w:rsidR="00000000" w:rsidRPr="00000000">
        <w:rPr>
          <w:rtl w:val="0"/>
        </w:rPr>
        <w:t xml:space="preserve">Popisovaný dokument uvádí 3 normativní odkazy na normu TPEG2 ISO 21219 části 5, 6 a 9. Dále je v části Literatura odkázána řada v textu použitých normativních referencí.</w:t>
      </w:r>
    </w:p>
    <w:p w:rsidR="00000000" w:rsidDel="00000000" w:rsidP="00000000" w:rsidRDefault="00000000" w:rsidRPr="00000000" w14:paraId="00000015">
      <w:pPr>
        <w:pStyle w:val="Heading1"/>
        <w:ind w:left="0" w:hanging="2"/>
        <w:rPr/>
      </w:pPr>
      <w:bookmarkStart w:colFirst="0" w:colLast="0" w:name="_heading=h.rwk302au4u2u" w:id="11"/>
      <w:bookmarkEnd w:id="11"/>
      <w:r w:rsidDel="00000000" w:rsidR="00000000" w:rsidRPr="00000000">
        <w:rPr>
          <w:rtl w:val="0"/>
        </w:rPr>
        <w:t xml:space="preserve">3 Termíny a definice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bookmarkStart w:colFirst="0" w:colLast="0" w:name="_heading=h.tyjcwt" w:id="12"/>
      <w:bookmarkEnd w:id="12"/>
      <w:r w:rsidDel="00000000" w:rsidR="00000000" w:rsidRPr="00000000">
        <w:rPr>
          <w:color w:val="000000"/>
          <w:rtl w:val="0"/>
        </w:rPr>
        <w:t xml:space="preserve">Tato kapitola definuje 5 termíny, m.j.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/>
      </w:pPr>
      <w:bookmarkStart w:colFirst="0" w:colLast="0" w:name="_heading=h.3dy6vkm" w:id="13"/>
      <w:bookmarkEnd w:id="13"/>
      <w:r w:rsidDel="00000000" w:rsidR="00000000" w:rsidRPr="00000000">
        <w:rPr>
          <w:b w:val="1"/>
          <w:rtl w:val="0"/>
        </w:rPr>
        <w:t xml:space="preserve">kontejner pro management zprávy; MMC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(message management container) </w:t>
      </w:r>
      <w:r w:rsidDel="00000000" w:rsidR="00000000" w:rsidRPr="00000000">
        <w:rPr>
          <w:rtl w:val="0"/>
        </w:rPr>
        <w:t xml:space="preserve">část zprávy obsahující informace pro sestavení zprávy z dalších “aplikačního” a “polohového” kontejneru či pro řízení zprávy (například její zrušení).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/>
      </w:pPr>
      <w:bookmarkStart w:colFirst="0" w:colLast="0" w:name="_heading=h.65y1mt6m073l" w:id="14"/>
      <w:bookmarkEnd w:id="14"/>
      <w:r w:rsidDel="00000000" w:rsidR="00000000" w:rsidRPr="00000000">
        <w:rPr>
          <w:b w:val="1"/>
          <w:rtl w:val="0"/>
        </w:rPr>
        <w:t xml:space="preserve">kontejner pro odkazování na polohu; LRC </w:t>
      </w:r>
      <w:r w:rsidDel="00000000" w:rsidR="00000000" w:rsidRPr="00000000">
        <w:rPr>
          <w:i w:val="1"/>
          <w:rtl w:val="0"/>
        </w:rPr>
        <w:t xml:space="preserve">(location referencing container)  </w:t>
      </w:r>
      <w:r w:rsidDel="00000000" w:rsidR="00000000" w:rsidRPr="00000000">
        <w:rPr>
          <w:rtl w:val="0"/>
        </w:rPr>
        <w:t xml:space="preserve">část zprávy obsahující  informace o poloze odkazované dopravní informace či odkazovaného stavu dopravní situace.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bookmarkStart w:colFirst="0" w:colLast="0" w:name="_heading=h.713qvuvjb6b4" w:id="15"/>
      <w:bookmarkEnd w:id="15"/>
      <w:r w:rsidDel="00000000" w:rsidR="00000000" w:rsidRPr="00000000">
        <w:rPr>
          <w:b w:val="1"/>
          <w:color w:val="000000"/>
          <w:rtl w:val="0"/>
        </w:rPr>
        <w:t xml:space="preserve">odkazování na polohu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i w:val="1"/>
          <w:color w:val="000000"/>
          <w:rtl w:val="0"/>
        </w:rPr>
        <w:t xml:space="preserve">(Location Referencing)</w:t>
      </w:r>
      <w:r w:rsidDel="00000000" w:rsidR="00000000" w:rsidRPr="00000000">
        <w:rPr>
          <w:color w:val="000000"/>
          <w:rtl w:val="0"/>
        </w:rPr>
        <w:t xml:space="preserve"> – prostředky umožňující systému přesně identifikovat polohu</w:t>
      </w:r>
    </w:p>
    <w:p w:rsidR="00000000" w:rsidDel="00000000" w:rsidP="00000000" w:rsidRDefault="00000000" w:rsidRPr="00000000" w14:paraId="00000009">
      <w:pPr>
        <w:ind w:left="0" w:hanging="2"/>
        <w:rPr/>
      </w:pPr>
      <w:r>
        <w:rPr>
          <w:rtl w:val="0"/>
        </w:rPr>
        <w:t xml:space="preserve">Další termíny a zkratky z oboru ITS jsou obsaženy ve slovníku ITS terminology.</w:t>
      </w:r>
    </w:p>
    <w:p w:rsidR="00000000" w:rsidDel="00000000" w:rsidP="00000000" w:rsidRDefault="00000000" w:rsidRPr="00000000" w14:paraId="0000001A">
      <w:pPr>
        <w:pStyle w:val="Heading1"/>
        <w:ind w:left="0" w:hanging="2"/>
        <w:rPr/>
      </w:pPr>
      <w:bookmarkStart w:colFirst="0" w:colLast="0" w:name="_heading=h.k2373fclpmbw" w:id="16"/>
      <w:bookmarkEnd w:id="16"/>
      <w:r w:rsidDel="00000000" w:rsidR="00000000" w:rsidRPr="00000000">
        <w:rPr>
          <w:rtl w:val="0"/>
        </w:rPr>
        <w:t xml:space="preserve">4 Symboly a zkratky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Tato kapitola stanovuje 16 zkratek, důležité z pohledu tohoto extraktu jsou: 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MMC</w:t>
      </w:r>
      <w:r w:rsidDel="00000000" w:rsidR="00000000" w:rsidRPr="00000000">
        <w:rPr>
          <w:color w:val="000000"/>
          <w:rtl w:val="0"/>
        </w:rPr>
        <w:tab/>
        <w:t xml:space="preserve">kontejner pro management zpráv </w:t>
      </w:r>
      <w:r w:rsidDel="00000000" w:rsidR="00000000" w:rsidRPr="00000000">
        <w:rPr>
          <w:i w:val="1"/>
          <w:color w:val="000000"/>
          <w:rtl w:val="0"/>
        </w:rPr>
        <w:t xml:space="preserve">(Message Management Container)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i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ADC</w:t>
        <w:tab/>
      </w:r>
      <w:r w:rsidDel="00000000" w:rsidR="00000000" w:rsidRPr="00000000">
        <w:rPr>
          <w:color w:val="000000"/>
          <w:rtl w:val="0"/>
        </w:rPr>
        <w:t xml:space="preserve">kontejner pro popis aplikace </w:t>
      </w:r>
      <w:r w:rsidDel="00000000" w:rsidR="00000000" w:rsidRPr="00000000">
        <w:rPr>
          <w:i w:val="1"/>
          <w:color w:val="000000"/>
          <w:rtl w:val="0"/>
        </w:rPr>
        <w:t xml:space="preserve">(Application Data Container) </w:t>
      </w:r>
    </w:p>
    <w:p w:rsidR="00000000" w:rsidDel="00000000" w:rsidP="00000000" w:rsidRDefault="00000000" w:rsidRPr="00000000" w14:paraId="0000001E">
      <w:pPr>
        <w:ind w:left="0" w:hanging="2"/>
        <w:rPr>
          <w:i w:val="1"/>
        </w:rPr>
      </w:pPr>
      <w:r w:rsidDel="00000000" w:rsidR="00000000" w:rsidRPr="00000000">
        <w:rPr>
          <w:b w:val="1"/>
          <w:rtl w:val="0"/>
        </w:rPr>
        <w:t xml:space="preserve">LRC</w:t>
        <w:tab/>
      </w:r>
      <w:r w:rsidDel="00000000" w:rsidR="00000000" w:rsidRPr="00000000">
        <w:rPr>
          <w:rtl w:val="0"/>
        </w:rPr>
        <w:t xml:space="preserve">kontejner pro odkazování na polohu </w:t>
      </w:r>
      <w:r w:rsidDel="00000000" w:rsidR="00000000" w:rsidRPr="00000000">
        <w:rPr>
          <w:i w:val="1"/>
          <w:rtl w:val="0"/>
        </w:rPr>
        <w:t xml:space="preserve">(Location Referencing Container)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i w:val="1"/>
          <w:color w:val="000000"/>
        </w:rPr>
      </w:pPr>
      <w:r w:rsidDel="00000000" w:rsidR="00000000" w:rsidRPr="00000000">
        <w:rPr>
          <w:b w:val="1"/>
          <w:rtl w:val="0"/>
        </w:rPr>
        <w:t xml:space="preserve">WEA</w:t>
      </w:r>
      <w:r w:rsidDel="00000000" w:rsidR="00000000" w:rsidRPr="00000000">
        <w:rPr>
          <w:b w:val="1"/>
          <w:color w:val="000000"/>
          <w:rtl w:val="0"/>
        </w:rPr>
        <w:tab/>
      </w:r>
      <w:r w:rsidDel="00000000" w:rsidR="00000000" w:rsidRPr="00000000">
        <w:rPr>
          <w:rtl w:val="0"/>
        </w:rPr>
        <w:t xml:space="preserve">aplikace pro informace o informace o počasí </w:t>
      </w:r>
      <w:r w:rsidDel="00000000" w:rsidR="00000000" w:rsidRPr="00000000">
        <w:rPr>
          <w:i w:val="1"/>
          <w:rtl w:val="0"/>
        </w:rPr>
        <w:t xml:space="preserve">(Weather information application)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hanging="2"/>
        <w:rPr>
          <w:i w:val="1"/>
        </w:rPr>
      </w:pPr>
      <w:r w:rsidDel="00000000" w:rsidR="00000000" w:rsidRPr="00000000">
        <w:rPr>
          <w:b w:val="1"/>
          <w:rtl w:val="0"/>
        </w:rPr>
        <w:t xml:space="preserve">TPEG</w:t>
        <w:tab/>
      </w:r>
      <w:r w:rsidDel="00000000" w:rsidR="00000000" w:rsidRPr="00000000">
        <w:rPr>
          <w:rtl w:val="0"/>
        </w:rPr>
        <w:t xml:space="preserve">framework poskytující formáty a protokoly pro poskytování dopravních informací, optimalizovaných na šíření prostřednictvím digitálního rozhlasu či Internetu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hanging="2"/>
        <w:rPr/>
      </w:pPr>
      <w:r>
        <w:rPr>
          <w:rtl w:val="0"/>
        </w:rPr>
        <w:t xml:space="preserve">Další termíny a zkratky z oboru ITS jsou obsaženy ve slovníku ITS terminology (www.ITSterminology.org).</w:t>
      </w:r>
    </w:p>
    <w:p w:rsidR="00000000" w:rsidDel="00000000" w:rsidP="00000000" w:rsidRDefault="00000000" w:rsidRPr="00000000" w14:paraId="00000022">
      <w:pPr>
        <w:pStyle w:val="Heading1"/>
        <w:ind w:left="0" w:hanging="2"/>
        <w:rPr/>
      </w:pPr>
      <w:bookmarkStart w:colFirst="0" w:colLast="0" w:name="_heading=h.qfqfpgofc94p" w:id="17"/>
      <w:bookmarkEnd w:id="17"/>
      <w:r w:rsidDel="00000000" w:rsidR="00000000" w:rsidRPr="00000000">
        <w:rPr>
          <w:rtl w:val="0"/>
        </w:rPr>
        <w:t xml:space="preserve">5 Podmínky a omezení aplikace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bookmarkStart w:colFirst="0" w:colLast="0" w:name="_heading=h.1t3h5sf" w:id="18"/>
      <w:bookmarkEnd w:id="18"/>
      <w:r w:rsidDel="00000000" w:rsidR="00000000" w:rsidRPr="00000000">
        <w:rPr>
          <w:color w:val="000000"/>
          <w:rtl w:val="0"/>
        </w:rPr>
        <w:t xml:space="preserve">Tato kapitola (rozsah 1,5 strany) vymezuje: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8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Identifikátor aplikace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který je stanovený pro všechny aplikace v TS 21219-1.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8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Verzi aplikace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Verze je klíčová z pohledu dekodéru, jednotlivé verze stejné aplikace se totiž mohou od sebe lišit strukturou, obsahem atp. 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8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Pořadí kontejnerů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ze kterých je zpráva složena. Zpráva se skládá z kontejneru pro management zpráv (MMC), a volitelně z kontejneru pro popis aplikace (ADC) a kontejneru pro odkazování na polohu (LRC). 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8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Rozšiřitelnost a zpětnou kompatibilitu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jako požadavek na přeskočení neznámých částí zprávy dekodérem a specifikaci v budoucnu rozšiřitelných částí struktur TPEG zprávy.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8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Rámec komponent služby TPEG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dle ISO/TS 21219-5.</w:t>
      </w:r>
    </w:p>
    <w:p w:rsidR="00000000" w:rsidDel="00000000" w:rsidP="00000000" w:rsidRDefault="00000000" w:rsidRPr="00000000" w14:paraId="00000029">
      <w:pPr>
        <w:pStyle w:val="Heading1"/>
        <w:ind w:left="0" w:hanging="2"/>
        <w:rPr/>
      </w:pPr>
      <w:bookmarkStart w:colFirst="0" w:colLast="0" w:name="_heading=h.70y3xb1dvgqi" w:id="19"/>
      <w:bookmarkEnd w:id="19"/>
      <w:r w:rsidDel="00000000" w:rsidR="00000000" w:rsidRPr="00000000">
        <w:rPr>
          <w:rtl w:val="0"/>
        </w:rPr>
        <w:t xml:space="preserve">6 Struktura WEA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Tato kapitola (rozsah 1 UML schéma) obsahuje UML model zprávy aplikace </w:t>
      </w:r>
      <w:r w:rsidDel="00000000" w:rsidR="00000000" w:rsidRPr="00000000">
        <w:rPr>
          <w:rtl w:val="0"/>
        </w:rPr>
        <w:t xml:space="preserve">WEA.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bookmarkStart w:colFirst="0" w:colLast="0" w:name="_heading=h.4d34og8" w:id="20"/>
      <w:bookmarkEnd w:id="20"/>
      <w:r w:rsidDel="00000000" w:rsidR="00000000" w:rsidRPr="00000000">
        <w:rPr>
          <w:color w:val="000000"/>
        </w:rPr>
        <w:drawing>
          <wp:inline distB="0" distT="0" distL="0" distR="0">
            <wp:extent cx="5760720" cy="5274945"/>
            <wp:effectExtent b="0" l="0" r="0" t="0"/>
            <wp:docPr id="104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74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Rule="auto"/>
        <w:ind w:left="0" w:hanging="2"/>
        <w:jc w:val="center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Obrázek 1 - UML model tříd aplikace </w:t>
      </w:r>
      <w:r w:rsidDel="00000000" w:rsidR="00000000" w:rsidRPr="00000000">
        <w:rPr>
          <w:sz w:val="18"/>
          <w:szCs w:val="18"/>
          <w:rtl w:val="0"/>
        </w:rPr>
        <w:t xml:space="preserve">WEA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(obrázek 2 normy)</w:t>
      </w:r>
    </w:p>
    <w:p w:rsidR="00000000" w:rsidDel="00000000" w:rsidP="00000000" w:rsidRDefault="00000000" w:rsidRPr="00000000" w14:paraId="0000002D">
      <w:pPr>
        <w:pStyle w:val="Heading1"/>
        <w:ind w:left="0" w:hanging="2"/>
        <w:rPr/>
      </w:pPr>
      <w:bookmarkStart w:colFirst="0" w:colLast="0" w:name="_heading=h.zeeuw5iep7ap" w:id="21"/>
      <w:bookmarkEnd w:id="21"/>
      <w:r w:rsidDel="00000000" w:rsidR="00000000" w:rsidRPr="00000000">
        <w:rPr>
          <w:rtl w:val="0"/>
        </w:rPr>
        <w:t xml:space="preserve">7 Komponenty zprávy WEA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Tato kapitola (rozsah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color w:val="000000"/>
          <w:rtl w:val="0"/>
        </w:rPr>
        <w:t xml:space="preserve"> stran, tabulky, obrázky) popisuje jednotlivé komponenty zprávy </w:t>
      </w:r>
      <w:r w:rsidDel="00000000" w:rsidR="00000000" w:rsidRPr="00000000">
        <w:rPr>
          <w:rtl w:val="0"/>
        </w:rPr>
        <w:t xml:space="preserve">WEA</w:t>
      </w:r>
      <w:r w:rsidDel="00000000" w:rsidR="00000000" w:rsidRPr="00000000">
        <w:rPr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  <w:t xml:space="preserve"> Cílem je zavést hierarchickou strukturu vzájemně propojených zpráv s různým pokrytím či časovými horizonty předpovědí.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hanging="2"/>
        <w:rPr/>
      </w:pPr>
      <w:r w:rsidDel="00000000" w:rsidR="00000000" w:rsidRPr="00000000">
        <w:rPr>
          <w:rtl w:val="0"/>
        </w:rPr>
        <w:t xml:space="preserve">Stanovuje pro zprávu WEA její základní strukturu a detailně popisuje její jednotlivé součásti. Základní zpráva „WeatherMessage“ může obsahovat informaci o počasí (WeatherInformation) a informaci o poloze (LocationReferencingContainerLink), ne nezbytně v jedné zprávě.</w:t>
      </w:r>
    </w:p>
    <w:p w:rsidR="00000000" w:rsidDel="00000000" w:rsidP="00000000" w:rsidRDefault="00000000" w:rsidRPr="00000000" w14:paraId="00000030">
      <w:pPr>
        <w:ind w:left="-2" w:firstLine="0"/>
        <w:rPr/>
      </w:pPr>
      <w:r w:rsidDel="00000000" w:rsidR="00000000" w:rsidRPr="00000000">
        <w:rPr>
          <w:rtl w:val="0"/>
        </w:rPr>
        <w:t xml:space="preserve">Informace o počasí se skládá z typu popisované oblasti, samotného reportu (WeatherReport) a souvisejících reportů odkázaných prostřednictvím ID. Každá zpráva o počasí sestává z typu reportu a položky (WeatherItem) a možného detailního reportu. Položka (WeatherItem) již obsahuje konkrétní informace o počasí, včetně předpovědi (OutlookTrend) podrobných číselných statistik (WeatherStatistics), varování před specifickým počasím (WeatherWarning) a výškového rozložení počasí (AltitudeElements).</w:t>
      </w:r>
    </w:p>
    <w:p w:rsidR="00000000" w:rsidDel="00000000" w:rsidP="00000000" w:rsidRDefault="00000000" w:rsidRPr="00000000" w14:paraId="00000031">
      <w:pPr>
        <w:ind w:left="-2" w:firstLine="0"/>
        <w:rPr/>
      </w:pPr>
      <w:r w:rsidDel="00000000" w:rsidR="00000000" w:rsidRPr="00000000">
        <w:rPr>
          <w:rtl w:val="0"/>
        </w:rPr>
        <w:t xml:space="preserve">Položka WeatherStatistics (kap 7.5) pokrývá 25 číselných údajů o počasí jako jsou teplota, vítr, rosný bod, východ slunce, tlak, srážky a další. 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rtl w:val="0"/>
        </w:rPr>
        <w:t xml:space="preserve">Popis polohy není specifikován.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00" w:lineRule="auto"/>
        <w:ind w:left="0" w:hanging="2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8 Datové typy </w:t>
      </w:r>
      <w:r w:rsidDel="00000000" w:rsidR="00000000" w:rsidRPr="00000000">
        <w:rPr>
          <w:b w:val="1"/>
          <w:sz w:val="22"/>
          <w:szCs w:val="22"/>
          <w:rtl w:val="0"/>
        </w:rPr>
        <w:t xml:space="preserve">WEA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bookmarkStart w:colFirst="0" w:colLast="0" w:name="_heading=h.lnxbz9" w:id="22"/>
      <w:bookmarkEnd w:id="22"/>
      <w:r w:rsidDel="00000000" w:rsidR="00000000" w:rsidRPr="00000000">
        <w:rPr>
          <w:rtl w:val="0"/>
        </w:rPr>
        <w:t xml:space="preserve">Tato kapitola (rozsah 1 strana) obsahuje definice 2 použitých datových struktur (typů).  Konkrétně LinkedMessage umožňující hierarchicky propojit zprávy mezi sebou pomocí messageID a Element</w:t>
      </w:r>
      <w:r w:rsidDel="00000000" w:rsidR="00000000" w:rsidRPr="00000000">
        <w:rPr>
          <w:color w:val="000000"/>
          <w:rtl w:val="0"/>
        </w:rPr>
        <w:t xml:space="preserve"> kvalitativně popisující typ počasí.  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9 Tabulky </w:t>
      </w:r>
      <w:r w:rsidDel="00000000" w:rsidR="00000000" w:rsidRPr="00000000">
        <w:rPr>
          <w:b w:val="1"/>
          <w:sz w:val="22"/>
          <w:szCs w:val="22"/>
          <w:rtl w:val="0"/>
        </w:rPr>
        <w:t xml:space="preserve">WEA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Tato kapitola (rozsah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color w:val="000000"/>
          <w:rtl w:val="0"/>
        </w:rPr>
        <w:t xml:space="preserve"> stran) obsahuje definice výčtových typů aplikace </w:t>
      </w:r>
      <w:r w:rsidDel="00000000" w:rsidR="00000000" w:rsidRPr="00000000">
        <w:rPr>
          <w:rtl w:val="0"/>
        </w:rPr>
        <w:t xml:space="preserve">WEA</w:t>
      </w:r>
      <w:r w:rsidDel="00000000" w:rsidR="00000000" w:rsidRPr="00000000">
        <w:rPr>
          <w:color w:val="000000"/>
          <w:rtl w:val="0"/>
        </w:rPr>
        <w:t xml:space="preserve"> (v 29 tabulkách).  Následující tabulka jmenovitě uvádí jednotlivé tabulky a doplňuje je popisem a příkladem obsahu.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hanging="2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iykewot5vw7m" w:id="23"/>
      <w:bookmarkEnd w:id="2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Tabulka 1 - Seznam tabulek WEA (výčtů hodnot) (zdroj: autor extraktu)</w:t>
      </w:r>
    </w:p>
    <w:tbl>
      <w:tblPr>
        <w:tblStyle w:val="Table2"/>
        <w:tblW w:w="9196.0" w:type="dxa"/>
        <w:jc w:val="left"/>
        <w:tblInd w:w="-5.0" w:type="dxa"/>
        <w:tblLayout w:type="fixed"/>
        <w:tblLook w:val="0000"/>
      </w:tblPr>
      <w:tblGrid>
        <w:gridCol w:w="3402"/>
        <w:gridCol w:w="3119"/>
        <w:gridCol w:w="2675"/>
        <w:tblGridChange w:id="0">
          <w:tblGrid>
            <w:gridCol w:w="3402"/>
            <w:gridCol w:w="3119"/>
            <w:gridCol w:w="26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Tabulka WEA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Popis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Obsah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wea000:ReportType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Typ reportu (0-5)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Př.:002: Daily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wea001:Period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Popis období platnosti (0-50)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Př.: 019: Dusk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wea002:TrendItem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Trend vývoje počasí (0-16)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Př.: 004: hotter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wea003:Direction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Směr počasí (0-16)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Př.: 013: W (west)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wea004:PressureTendency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Trend tlaku (0-6)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Př.: 003: Falling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wea005:Visibility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Viditelnost  (0-4)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Př.: 002: Poor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wea006:SeaState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Výška vln na moři (0-7)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Př.: 003: Rough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wea007:PollenCount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Množství pylových částic (0-3)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Př: 002: 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wea008:AirQuality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Kvalita počasí (0-6)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Př.: 003: Unhealthy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wea009:WarningLevel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úroveň hrozby počasí (0-4)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Př.: 002: Bad weather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wea010:UVIndex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UV index (0-11)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Př.: 010: 10-very high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wea011:GeoSignificance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Význam / rozsah (0-9)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Př.: 006: City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wea012:WindDirectionTrend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Trend směru větru (0-2)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Př.: 001: Veering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wea013:WindSpeedTrend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Trend rychlosti větru (0-4)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Př.: 003: Decreasing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wea014:ContentType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Popis typu obsahu (0-6)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Př.: 004: Pressure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wea099:ElementSubTable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Tabulka podtypů počasí (0)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prázdná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wea100:ElementType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Tabulka elementů počasí (0-12)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Př.: 006: wea106_FogElements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wea101:RainElements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Popis deštivého počasí (0-12)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Př.: 012: Damp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wea102:SnowElements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Popis sněžného počasí (0-14)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Př.: 006: Low drifting snow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wea103:SleetHailElements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Popis špatného počasí (0-11)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Př.: 002: Light sleet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wea104:WindElements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Popis větrného počasí (0-27)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Př.: 012: Hurricane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wea105:StormElements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Popis bouřkového počasí (0-12)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Př.: 012: Sand storm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wea106:FogElements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Popis mlžného počasí (0-13)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Př.: 004: Shallow fog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wea107:FrostElements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Popis ledového počasí (0-5)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Př.: 004: Severe frost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wea108:SunshineCloudElements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Popis slunečné oblačnosti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Př.: 005: A few clouds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wea109:TemperatureElements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Popis teploty (0-12)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Př.: 008: Heat-wave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wea110:HazardElements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Popis hrozby (0-13)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Př.: 005: Landslides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wea200:ElementQualifier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Popis prostředí (0-25)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Př.: 003: Urban areas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wea201:ElementQualifierProbability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Pravděpodobnost realizace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Př.: 001: 10 %</w:t>
            </w:r>
          </w:p>
        </w:tc>
      </w:tr>
    </w:tbl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</w:t>
      </w:r>
      <w:r w:rsidDel="00000000" w:rsidR="00000000" w:rsidRPr="00000000">
        <w:rPr>
          <w:rtl w:val="0"/>
        </w:rPr>
        <w:t xml:space="preserve">ásledující tabulka obsahuje ukázku tabulky „wea200:ElementQualifier” z popisovaného dokumentu.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hanging="2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wpo5mx1gy36r" w:id="24"/>
      <w:bookmarkEnd w:id="24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Tabulka 2 -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Příklad části definice výčtového typu wea200:ElementQualifier (tabulka 41 normy)</w:t>
      </w:r>
    </w:p>
    <w:tbl>
      <w:tblPr>
        <w:tblStyle w:val="Table3"/>
        <w:tblW w:w="9180.0" w:type="dxa"/>
        <w:jc w:val="left"/>
        <w:tblInd w:w="-5.0" w:type="dxa"/>
        <w:tblLayout w:type="fixed"/>
        <w:tblLook w:val="0000"/>
      </w:tblPr>
      <w:tblGrid>
        <w:gridCol w:w="709"/>
        <w:gridCol w:w="2410"/>
        <w:gridCol w:w="6061"/>
        <w:tblGridChange w:id="0">
          <w:tblGrid>
            <w:gridCol w:w="709"/>
            <w:gridCol w:w="2410"/>
            <w:gridCol w:w="60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Kód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Fráze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komentář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 některých oblastech (In some areas)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 celkové oblasti, na kterou se odkazuje, se prvek nemusí vyskytovat všude, ale jen na některých místech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Nízko položené oblasti (Low lying areas)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Prvky jako mlha se mohou častěji vyskytovat v údolích a nízkých polohách v blízkosti řek.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Vyvýšená místa (High ground)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Prvky jako mráz a sníh mohou být pravděpodobnější ve vysokých oblastech.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Městské oblasti (Urban areas)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Městské oblasti mají vlastní mikroklima, takže někdy bývají teplejší nebo může být problémem smog.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00" w:lineRule="auto"/>
        <w:ind w:left="0" w:hanging="2"/>
        <w:rPr>
          <w:b w:val="1"/>
          <w:color w:val="000000"/>
          <w:sz w:val="22"/>
          <w:szCs w:val="22"/>
        </w:rPr>
      </w:pPr>
      <w:bookmarkStart w:colFirst="0" w:colLast="0" w:name="_heading=h.35nkun2" w:id="25"/>
      <w:bookmarkEnd w:id="2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Příloha A (</w:t>
      </w:r>
      <w:r w:rsidDel="00000000" w:rsidR="00000000" w:rsidRPr="00000000">
        <w:rPr>
          <w:b w:val="1"/>
          <w:sz w:val="22"/>
          <w:szCs w:val="22"/>
          <w:rtl w:val="0"/>
        </w:rPr>
        <w:t xml:space="preserve">normativní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) TPEG-bin reprezentace </w:t>
      </w:r>
      <w:r w:rsidDel="00000000" w:rsidR="00000000" w:rsidRPr="00000000">
        <w:rPr>
          <w:b w:val="1"/>
          <w:sz w:val="22"/>
          <w:szCs w:val="22"/>
          <w:rtl w:val="0"/>
        </w:rPr>
        <w:t xml:space="preserve">WEA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bookmarkStart w:colFirst="0" w:colLast="0" w:name="_heading=h.1ksv4uv" w:id="26"/>
      <w:bookmarkEnd w:id="26"/>
      <w:r w:rsidDel="00000000" w:rsidR="00000000" w:rsidRPr="00000000">
        <w:rPr>
          <w:color w:val="000000"/>
          <w:rtl w:val="0"/>
        </w:rPr>
        <w:t xml:space="preserve">Tato příloha (rozsah 9 stran) stanovuje binární reprezentaci aplikace </w:t>
      </w:r>
      <w:r w:rsidDel="00000000" w:rsidR="00000000" w:rsidRPr="00000000">
        <w:rPr>
          <w:rtl w:val="0"/>
        </w:rPr>
        <w:t xml:space="preserve">WEA</w:t>
      </w:r>
      <w:r w:rsidDel="00000000" w:rsidR="00000000" w:rsidRPr="00000000">
        <w:rPr>
          <w:color w:val="000000"/>
          <w:rtl w:val="0"/>
        </w:rPr>
        <w:t xml:space="preserve"> pro použití v DAB. Pro popis binární reprezentace je použit pseudokód, kde pro každé klíčové slovo zapsané struktury je znám jeho binární tvar.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/>
      </w:pPr>
      <w:bookmarkStart w:colFirst="0" w:colLast="0" w:name="_heading=h.44sinio" w:id="27"/>
      <w:bookmarkEnd w:id="27"/>
      <w:r w:rsidDel="00000000" w:rsidR="00000000" w:rsidRPr="00000000">
        <w:rPr>
          <w:color w:val="000000"/>
          <w:rtl w:val="0"/>
        </w:rPr>
        <w:t xml:space="preserve">Příloha obsahuje samostatně uvedené binární reprezentace rámce TPEG, zprávy </w:t>
      </w:r>
      <w:r w:rsidDel="00000000" w:rsidR="00000000" w:rsidRPr="00000000">
        <w:rPr>
          <w:rtl w:val="0"/>
        </w:rPr>
        <w:t xml:space="preserve">WEA</w:t>
      </w:r>
      <w:r w:rsidDel="00000000" w:rsidR="00000000" w:rsidRPr="00000000">
        <w:rPr>
          <w:color w:val="000000"/>
          <w:rtl w:val="0"/>
        </w:rPr>
        <w:t xml:space="preserve"> a jejích součástí, prvků </w:t>
      </w:r>
      <w:r w:rsidDel="00000000" w:rsidR="00000000" w:rsidRPr="00000000">
        <w:rPr>
          <w:rtl w:val="0"/>
        </w:rPr>
        <w:t xml:space="preserve">určených pro budoucí rozšíření a datových typů. Dále obsahuje identifikátory komponent zprávy a vysvětlení použití obecných atributů TPEG. Příklad pseudokódu binární specifikace prvku WeatherReport je uveden v následující tabulce.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hanging="2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y0ayy7lgb8no" w:id="28"/>
      <w:bookmarkEnd w:id="28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Tabulka 3 - Příklad pseudokódu binární specifikace prvku WeatherReport (článek A.4 normy)</w:t>
      </w:r>
    </w:p>
    <w:tbl>
      <w:tblPr>
        <w:tblStyle w:val="Table4"/>
        <w:tblW w:w="92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64"/>
        <w:gridCol w:w="5321"/>
        <w:tblGridChange w:id="0">
          <w:tblGrid>
            <w:gridCol w:w="3964"/>
            <w:gridCol w:w="53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&lt;WeatherReport(6)&gt;:=</w:t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&lt;IntUnTi&gt;(6),</w:t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Id této komponenty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&lt;IntUnLoMB&gt;(lengthComp),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Počet bajtů v komponentě, kromě indikátorů id a lengthComp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&lt;IntUnLoMB&gt;(lengthAttr),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Počet bajtů v atributech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&lt;wea000:ReportType&gt;(reportType),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stanovuje časový rámec reportu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ordered {</w:t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&lt;WeatherItem&gt;(weatherDefinition),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hlavní část zprávy o počasí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 * &lt;WeatherReport&gt;(moreDetailedReport)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volitelné další úrovně reportu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};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00" w:lineRule="auto"/>
        <w:ind w:left="0" w:hanging="2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Příloha B (normativní) TPEG-ML reprezentace </w:t>
      </w:r>
      <w:r w:rsidDel="00000000" w:rsidR="00000000" w:rsidRPr="00000000">
        <w:rPr>
          <w:b w:val="1"/>
          <w:sz w:val="22"/>
          <w:szCs w:val="22"/>
          <w:rtl w:val="0"/>
        </w:rPr>
        <w:t xml:space="preserve">WEA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Tato příloha (rozsah </w:t>
      </w:r>
      <w:r w:rsidDel="00000000" w:rsidR="00000000" w:rsidRPr="00000000">
        <w:rPr>
          <w:rtl w:val="0"/>
        </w:rPr>
        <w:t xml:space="preserve">14</w:t>
      </w:r>
      <w:r w:rsidDel="00000000" w:rsidR="00000000" w:rsidRPr="00000000">
        <w:rPr>
          <w:color w:val="000000"/>
          <w:rtl w:val="0"/>
        </w:rPr>
        <w:t xml:space="preserve"> stran) obsahuje nejprve </w:t>
      </w:r>
      <w:r w:rsidDel="00000000" w:rsidR="00000000" w:rsidRPr="00000000">
        <w:rPr>
          <w:color w:val="000000"/>
          <w:u w:val="single"/>
          <w:rtl w:val="0"/>
        </w:rPr>
        <w:t xml:space="preserve">samostatně uvedené</w:t>
      </w:r>
      <w:r w:rsidDel="00000000" w:rsidR="00000000" w:rsidRPr="00000000">
        <w:rPr>
          <w:color w:val="000000"/>
          <w:rtl w:val="0"/>
        </w:rPr>
        <w:t xml:space="preserve"> XML schéma rámce TPEG, dále zprávy </w:t>
      </w:r>
      <w:r w:rsidDel="00000000" w:rsidR="00000000" w:rsidRPr="00000000">
        <w:rPr>
          <w:rtl w:val="0"/>
        </w:rPr>
        <w:t xml:space="preserve">WEA</w:t>
      </w:r>
      <w:r w:rsidDel="00000000" w:rsidR="00000000" w:rsidRPr="00000000">
        <w:rPr>
          <w:color w:val="000000"/>
          <w:rtl w:val="0"/>
        </w:rPr>
        <w:t xml:space="preserve"> a jejích součástí, prvků určených pro budoucí rozšíření, datových typů a tabulek </w:t>
      </w:r>
      <w:r w:rsidDel="00000000" w:rsidR="00000000" w:rsidRPr="00000000">
        <w:rPr>
          <w:rtl w:val="0"/>
        </w:rPr>
        <w:t xml:space="preserve">WEA</w:t>
      </w:r>
      <w:r w:rsidDel="00000000" w:rsidR="00000000" w:rsidRPr="00000000">
        <w:rPr>
          <w:color w:val="000000"/>
          <w:rtl w:val="0"/>
        </w:rPr>
        <w:t xml:space="preserve"> (definovaných jako xs:complexType), viz příklad na obrázku níže. Následně uvádí vše výše zmíněné v jednom funkčním XML schématu. </w:t>
      </w:r>
    </w:p>
    <w:tbl>
      <w:tblPr>
        <w:tblStyle w:val="Table5"/>
        <w:tblW w:w="92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12"/>
        <w:tblGridChange w:id="0">
          <w:tblGrid>
            <w:gridCol w:w="92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shd w:fill="fff2cc" w:val="clear"/>
              <w:tabs>
                <w:tab w:val="left" w:leader="none" w:pos="1360"/>
              </w:tabs>
              <w:spacing w:after="40" w:line="240" w:lineRule="auto"/>
              <w:ind w:left="0" w:hanging="2"/>
              <w:rPr>
                <w:rFonts w:ascii="Courier New" w:cs="Courier New" w:eastAsia="Courier New" w:hAnsi="Courier New"/>
                <w:sz w:val="18"/>
                <w:szCs w:val="18"/>
              </w:rPr>
            </w:pPr>
            <w:bookmarkStart w:colFirst="0" w:colLast="0" w:name="_heading=h.17dp8vu" w:id="29"/>
            <w:bookmarkEnd w:id="29"/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&lt;xs:complexType name=″WeatherReport”&gt;</w:t>
            </w:r>
          </w:p>
          <w:p w:rsidR="00000000" w:rsidDel="00000000" w:rsidP="00000000" w:rsidRDefault="00000000" w:rsidRPr="00000000" w14:paraId="000000BD">
            <w:pPr>
              <w:shd w:fill="fff2cc" w:val="clear"/>
              <w:tabs>
                <w:tab w:val="left" w:leader="none" w:pos="1360"/>
              </w:tabs>
              <w:spacing w:after="40" w:line="240" w:lineRule="auto"/>
              <w:ind w:left="0" w:hanging="2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&lt;xs:sequence&gt;</w:t>
            </w:r>
          </w:p>
          <w:p w:rsidR="00000000" w:rsidDel="00000000" w:rsidP="00000000" w:rsidRDefault="00000000" w:rsidRPr="00000000" w14:paraId="000000BE">
            <w:pPr>
              <w:shd w:fill="fff2cc" w:val="clear"/>
              <w:tabs>
                <w:tab w:val="left" w:leader="none" w:pos="1360"/>
              </w:tabs>
              <w:spacing w:after="40" w:line="240" w:lineRule="auto"/>
              <w:ind w:left="0" w:hanging="2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&lt;xs:element name=″reportType″ type=″wea000_ReportType″/&gt;</w:t>
            </w:r>
          </w:p>
          <w:p w:rsidR="00000000" w:rsidDel="00000000" w:rsidP="00000000" w:rsidRDefault="00000000" w:rsidRPr="00000000" w14:paraId="000000BF">
            <w:pPr>
              <w:shd w:fill="fff2cc" w:val="clear"/>
              <w:tabs>
                <w:tab w:val="left" w:leader="none" w:pos="1360"/>
              </w:tabs>
              <w:spacing w:after="40" w:line="240" w:lineRule="auto"/>
              <w:ind w:left="0" w:hanging="2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&lt;xs:element name=″weatherDefinition″ type=″WeatherItem″/&gt;</w:t>
            </w:r>
          </w:p>
          <w:p w:rsidR="00000000" w:rsidDel="00000000" w:rsidP="00000000" w:rsidRDefault="00000000" w:rsidRPr="00000000" w14:paraId="000000C0">
            <w:pPr>
              <w:shd w:fill="fff2cc" w:val="clear"/>
              <w:tabs>
                <w:tab w:val="left" w:leader="none" w:pos="1360"/>
              </w:tabs>
              <w:spacing w:after="40" w:line="240" w:lineRule="auto"/>
              <w:ind w:left="0" w:hanging="2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&lt;xs:element name=″moreDetailedReport″ type=″WeatherReport″ minOccurs=″0″</w:t>
            </w:r>
          </w:p>
          <w:p w:rsidR="00000000" w:rsidDel="00000000" w:rsidP="00000000" w:rsidRDefault="00000000" w:rsidRPr="00000000" w14:paraId="000000C1">
            <w:pPr>
              <w:shd w:fill="fff2cc" w:val="clear"/>
              <w:tabs>
                <w:tab w:val="left" w:leader="none" w:pos="1360"/>
              </w:tabs>
              <w:spacing w:after="40" w:line="240" w:lineRule="auto"/>
              <w:ind w:left="0" w:hanging="2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maxOccurs=″unbounded″/&gt;</w:t>
            </w:r>
          </w:p>
          <w:p w:rsidR="00000000" w:rsidDel="00000000" w:rsidP="00000000" w:rsidRDefault="00000000" w:rsidRPr="00000000" w14:paraId="000000C2">
            <w:pPr>
              <w:shd w:fill="fff2cc" w:val="clear"/>
              <w:tabs>
                <w:tab w:val="left" w:leader="none" w:pos="1360"/>
              </w:tabs>
              <w:spacing w:after="40" w:line="240" w:lineRule="auto"/>
              <w:ind w:left="0" w:hanging="2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&lt;/xs:sequence&gt;</w:t>
            </w:r>
          </w:p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2cc" w:val="clear"/>
              <w:tabs>
                <w:tab w:val="left" w:leader="none" w:pos="1360"/>
              </w:tabs>
              <w:spacing w:after="40" w:line="240" w:lineRule="auto"/>
              <w:ind w:left="0" w:hanging="2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&lt;/xs:complexType&gt;</w:t>
            </w:r>
          </w:p>
        </w:tc>
      </w:tr>
    </w:tbl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hanging="2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Obrázek 2 - Výstřižek schématu XSD stanovujícího strukturu prvku WeatherReport (článek B.1.3 normy)</w:t>
      </w:r>
    </w:p>
    <w:p w:rsidR="00000000" w:rsidDel="00000000" w:rsidP="00000000" w:rsidRDefault="00000000" w:rsidRPr="00000000" w14:paraId="000000C5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00" w:lineRule="auto"/>
        <w:ind w:left="0" w:hanging="2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Příloha C (informativní) Vypracované příklady</w:t>
      </w:r>
    </w:p>
    <w:p w:rsidR="00000000" w:rsidDel="00000000" w:rsidP="00000000" w:rsidRDefault="00000000" w:rsidRPr="00000000" w14:paraId="000000C6">
      <w:pPr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Tato příloha (rozsah 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color w:val="000000"/>
          <w:rtl w:val="0"/>
        </w:rPr>
        <w:t xml:space="preserve"> stran) obsahuje mo</w:t>
      </w:r>
      <w:r w:rsidDel="00000000" w:rsidR="00000000" w:rsidRPr="00000000">
        <w:rPr>
          <w:color w:val="000000"/>
          <w:rtl w:val="0"/>
        </w:rPr>
        <w:t xml:space="preserve">žné vizualizace informace o poč</w:t>
      </w:r>
      <w:r w:rsidDel="00000000" w:rsidR="00000000" w:rsidRPr="00000000">
        <w:rPr>
          <w:rtl w:val="0"/>
        </w:rPr>
        <w:t xml:space="preserve">así</w:t>
      </w:r>
      <w:r w:rsidDel="00000000" w:rsidR="00000000" w:rsidRPr="00000000">
        <w:rPr>
          <w:color w:val="000000"/>
          <w:rtl w:val="0"/>
        </w:rPr>
        <w:t xml:space="preserve"> a UML dia</w:t>
      </w:r>
      <w:r w:rsidDel="00000000" w:rsidR="00000000" w:rsidRPr="00000000">
        <w:rPr>
          <w:color w:val="000000"/>
          <w:rtl w:val="0"/>
        </w:rPr>
        <w:t xml:space="preserve">gramy (většinou nečitelné) pro 3 příklady hlášení počasí, od jednoduchého až po hierarchické oblastní hlášení pomocí propojených reportů.</w:t>
      </w:r>
    </w:p>
    <w:p w:rsidR="00000000" w:rsidDel="00000000" w:rsidP="00000000" w:rsidRDefault="00000000" w:rsidRPr="00000000" w14:paraId="000000C7">
      <w:pPr>
        <w:ind w:left="0" w:hanging="2"/>
        <w:jc w:val="center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3872019" cy="2929196"/>
            <wp:effectExtent b="0" l="0" r="0" t="0"/>
            <wp:docPr id="104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2019" cy="29291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hanging="2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Obrázek 3 – Ukázka vizualizace jednoduchého hlášení o počasí (obrázek C.1 normy)</w:t>
      </w:r>
    </w:p>
    <w:p w:rsidR="00000000" w:rsidDel="00000000" w:rsidP="00000000" w:rsidRDefault="00000000" w:rsidRPr="00000000" w14:paraId="000000C9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00" w:lineRule="auto"/>
        <w:ind w:left="0" w:hanging="2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Příloha D (informativní) Doporučený překlad mezi tabulkami WEA a WMO SYNOP kódy pozorování</w:t>
      </w:r>
    </w:p>
    <w:p w:rsidR="00000000" w:rsidDel="00000000" w:rsidP="00000000" w:rsidRDefault="00000000" w:rsidRPr="00000000" w14:paraId="000000CA">
      <w:pPr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Tato příloha (rozsah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color w:val="000000"/>
          <w:rtl w:val="0"/>
        </w:rPr>
        <w:t xml:space="preserve"> stran) obsahuje tabulku stanovující propojení mezi kódy SYNOP a kódy stanovenými v popisovaném dokumentu.</w:t>
      </w:r>
    </w:p>
    <w:p w:rsidR="00000000" w:rsidDel="00000000" w:rsidP="00000000" w:rsidRDefault="00000000" w:rsidRPr="00000000" w14:paraId="000000CB">
      <w:pPr>
        <w:ind w:left="0" w:hanging="2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760720" cy="1831340"/>
            <wp:effectExtent b="0" l="0" r="0" t="0"/>
            <wp:docPr id="104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1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hanging="2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Obrázek 4 – Výstřižek z tabulky propojení SYNOP a WEA (tabulka D.1 normy)</w:t>
      </w:r>
    </w:p>
    <w:p w:rsidR="00000000" w:rsidDel="00000000" w:rsidP="00000000" w:rsidRDefault="00000000" w:rsidRPr="00000000" w14:paraId="000000CD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00" w:lineRule="auto"/>
        <w:ind w:left="0" w:hanging="2"/>
        <w:rPr>
          <w:color w:val="000000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Literatura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Tato část (rozsah 1 strana) obsahuje odkazy na literaturu i normy použité v popisovaném dokumentu.</w:t>
      </w:r>
    </w:p>
    <w:p w:rsidR="00000000" w:rsidDel="00000000" w:rsidP="00000000" w:rsidRDefault="00000000" w:rsidRPr="00000000" w14:paraId="000000CF">
      <w:pPr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sectPr>
      <w:footerReference r:id="rId12" w:type="default"/>
      <w:pgSz w:h="16838" w:w="11906" w:orient="portrait"/>
      <w:pgMar w:bottom="1497" w:top="1417" w:left="1417" w:right="1417" w:header="708" w:footer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hanging="2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899795</wp:posOffset>
          </wp:positionH>
          <wp:positionV relativeFrom="paragraph">
            <wp:posOffset>0</wp:posOffset>
          </wp:positionV>
          <wp:extent cx="75565" cy="145415"/>
          <wp:effectExtent b="0" l="0" r="0" t="0"/>
          <wp:wrapSquare wrapText="bothSides" distB="0" distT="0" distL="114300" distR="114300"/>
          <wp:docPr id="104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65" cy="14541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1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cs-CZ"/>
      </w:rPr>
    </w:rPrDefault>
    <w:pPrDefault>
      <w:pPr>
        <w:spacing w:after="120" w:line="276" w:lineRule="auto"/>
        <w:ind w:hanging="1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60" w:before="200" w:lineRule="auto"/>
    </w:pPr>
    <w:rPr>
      <w:b w:val="1"/>
      <w:color w:val="000000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color w:val="000000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color w:val="00000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tabs>
        <w:tab w:val="left" w:leader="none" w:pos="7080"/>
        <w:tab w:val="right" w:leader="none" w:pos="9923"/>
      </w:tabs>
      <w:spacing w:after="60" w:lineRule="auto"/>
      <w:jc w:val="center"/>
    </w:pPr>
    <w:rPr>
      <w:b w:val="1"/>
      <w:color w:val="000000"/>
      <w:sz w:val="40"/>
      <w:szCs w:val="40"/>
    </w:rPr>
  </w:style>
  <w:style w:type="paragraph" w:styleId="Normln" w:default="1">
    <w:name w:val="Normal"/>
    <w:qFormat w:val="1"/>
    <w:pPr>
      <w:ind w:left="-1" w:leftChars="-1" w:hangingChars="1"/>
      <w:textDirection w:val="btLr"/>
      <w:textAlignment w:val="top"/>
      <w:outlineLvl w:val="0"/>
    </w:pPr>
    <w:rPr>
      <w:position w:val="-1"/>
      <w:lang w:bidi="hi-IN" w:eastAsia="hi-IN"/>
    </w:rPr>
  </w:style>
  <w:style w:type="paragraph" w:styleId="Nadpis1">
    <w:name w:val="heading 1"/>
    <w:basedOn w:val="Normln"/>
    <w:next w:val="Zkladntext"/>
    <w:uiPriority w:val="9"/>
    <w:qFormat w:val="1"/>
    <w:pPr>
      <w:keepNext w:val="1"/>
      <w:keepLines w:val="1"/>
      <w:spacing w:after="60" w:before="200"/>
    </w:pPr>
    <w:rPr>
      <w:b w:val="1"/>
      <w:color w:val="000000"/>
      <w:sz w:val="22"/>
      <w:szCs w:val="22"/>
    </w:rPr>
  </w:style>
  <w:style w:type="paragraph" w:styleId="Nadpis2">
    <w:name w:val="heading 2"/>
    <w:basedOn w:val="Normln"/>
    <w:next w:val="Zkladntext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color w:val="000000"/>
      <w:sz w:val="36"/>
      <w:szCs w:val="36"/>
    </w:rPr>
  </w:style>
  <w:style w:type="paragraph" w:styleId="Nadpis3">
    <w:name w:val="heading 3"/>
    <w:basedOn w:val="Normln"/>
    <w:next w:val="Zkladntext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color w:val="000000"/>
      <w:sz w:val="28"/>
      <w:szCs w:val="28"/>
    </w:rPr>
  </w:style>
  <w:style w:type="paragraph" w:styleId="Nadpis4">
    <w:name w:val="heading 4"/>
    <w:basedOn w:val="Normln"/>
    <w:next w:val="Zkladntext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color w:val="000000"/>
      <w:sz w:val="24"/>
      <w:szCs w:val="24"/>
    </w:rPr>
  </w:style>
  <w:style w:type="paragraph" w:styleId="Nadpis5">
    <w:name w:val="heading 5"/>
    <w:basedOn w:val="Normln"/>
    <w:next w:val="Zkladntext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color w:val="000000"/>
      <w:sz w:val="22"/>
      <w:szCs w:val="22"/>
    </w:rPr>
  </w:style>
  <w:style w:type="paragraph" w:styleId="Nadpis6">
    <w:name w:val="heading 6"/>
    <w:basedOn w:val="Normln"/>
    <w:next w:val="Zkladntext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color w:val="000000"/>
    </w:rPr>
  </w:style>
  <w:style w:type="character" w:styleId="Standardnpsmoodstavce" w:default="1">
    <w:name w:val="Default Paragraph Font"/>
    <w:uiPriority w:val="1"/>
    <w:unhideWhenUsed w:val="1"/>
  </w:style>
  <w:style w:type="table" w:styleId="Normlntabulk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seznamu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zev">
    <w:name w:val="Title"/>
    <w:basedOn w:val="Normln"/>
    <w:next w:val="Podnadpis1"/>
    <w:uiPriority w:val="10"/>
    <w:qFormat w:val="1"/>
    <w:pPr>
      <w:keepNext w:val="1"/>
      <w:keepLines w:val="1"/>
      <w:widowControl w:val="0"/>
      <w:tabs>
        <w:tab w:val="left" w:pos="7080"/>
        <w:tab w:val="right" w:pos="9923"/>
      </w:tabs>
      <w:spacing w:after="60" w:line="100" w:lineRule="atLeast"/>
      <w:jc w:val="center"/>
    </w:pPr>
    <w:rPr>
      <w:b w:val="1"/>
      <w:bCs w:val="1"/>
      <w:color w:val="000000"/>
      <w:sz w:val="40"/>
      <w:szCs w:val="40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ListLabel1" w:customStyle="1">
    <w:name w:val="ListLabel 1"/>
    <w:rPr>
      <w:w w:val="100"/>
      <w:position w:val="-1"/>
      <w:u w:val="none"/>
      <w:effect w:val="none"/>
      <w:vertAlign w:val="baseline"/>
      <w:cs w:val="0"/>
      <w:em w:val="none"/>
    </w:rPr>
  </w:style>
  <w:style w:type="character" w:styleId="Odrky" w:customStyle="1">
    <w:name w:val="Odrážky"/>
    <w:rPr>
      <w:rFonts w:ascii="OpenSymbol" w:cs="OpenSymbol" w:eastAsia="OpenSymbol" w:hAnsi="OpenSymbol"/>
      <w:w w:val="100"/>
      <w:position w:val="-1"/>
      <w:effect w:val="none"/>
      <w:vertAlign w:val="baseline"/>
      <w:cs w:val="0"/>
      <w:em w:val="none"/>
    </w:rPr>
  </w:style>
  <w:style w:type="paragraph" w:styleId="Nadpis" w:customStyle="1">
    <w:name w:val="Nadpis"/>
    <w:basedOn w:val="Normln"/>
    <w:next w:val="Zkladntext"/>
    <w:pPr>
      <w:keepNext w:val="1"/>
      <w:spacing w:before="240"/>
    </w:pPr>
    <w:rPr>
      <w:rFonts w:cs="Lucida Sans" w:eastAsia="Microsoft YaHei"/>
      <w:color w:val="000000"/>
      <w:sz w:val="28"/>
      <w:szCs w:val="28"/>
    </w:rPr>
  </w:style>
  <w:style w:type="paragraph" w:styleId="Zkladntext">
    <w:name w:val="Body Text"/>
    <w:basedOn w:val="Normln"/>
    <w:rPr>
      <w:color w:val="000000"/>
    </w:rPr>
  </w:style>
  <w:style w:type="paragraph" w:styleId="Seznam">
    <w:name w:val="List"/>
    <w:basedOn w:val="Zkladntext"/>
    <w:rPr>
      <w:rFonts w:cs="Lucida Sans"/>
    </w:rPr>
  </w:style>
  <w:style w:type="paragraph" w:styleId="Popisek" w:customStyle="1">
    <w:name w:val="Popisek"/>
    <w:basedOn w:val="Normln"/>
    <w:pPr>
      <w:suppressLineNumbers w:val="1"/>
      <w:spacing w:before="120"/>
    </w:pPr>
    <w:rPr>
      <w:rFonts w:cs="Lucida Sans"/>
      <w:i w:val="1"/>
      <w:iCs w:val="1"/>
      <w:color w:val="000000"/>
      <w:sz w:val="24"/>
      <w:szCs w:val="24"/>
    </w:rPr>
  </w:style>
  <w:style w:type="paragraph" w:styleId="Rejstk" w:customStyle="1">
    <w:name w:val="Rejstřík"/>
    <w:basedOn w:val="Normln"/>
    <w:pPr>
      <w:suppressLineNumbers w:val="1"/>
    </w:pPr>
    <w:rPr>
      <w:rFonts w:cs="Lucida Sans"/>
      <w:color w:val="000000"/>
    </w:rPr>
  </w:style>
  <w:style w:type="paragraph" w:styleId="Podnadpis1" w:customStyle="1">
    <w:name w:val="Podnadpis1"/>
    <w:basedOn w:val="Normln"/>
    <w:next w:val="Zkladntext"/>
    <w:pPr>
      <w:keepNext w:val="1"/>
      <w:keepLines w:val="1"/>
      <w:spacing w:after="0" w:before="180" w:line="100" w:lineRule="atLeast"/>
      <w:jc w:val="left"/>
    </w:pPr>
    <w:rPr>
      <w:b w:val="1"/>
      <w:i w:val="1"/>
      <w:iCs w:val="1"/>
      <w:color w:val="000000"/>
      <w:sz w:val="32"/>
      <w:szCs w:val="32"/>
    </w:rPr>
  </w:style>
  <w:style w:type="paragraph" w:styleId="Zpat">
    <w:name w:val="footer"/>
    <w:basedOn w:val="Normln"/>
    <w:pPr>
      <w:suppressLineNumbers w:val="1"/>
      <w:tabs>
        <w:tab w:val="center" w:pos="4819"/>
        <w:tab w:val="right" w:pos="9638"/>
      </w:tabs>
    </w:pPr>
    <w:rPr>
      <w:color w:val="000000"/>
    </w:rPr>
  </w:style>
  <w:style w:type="paragraph" w:styleId="Odstavecseseznamem">
    <w:name w:val="List Paragraph"/>
    <w:basedOn w:val="Normln"/>
    <w:pPr>
      <w:ind w:left="720" w:firstLine="0"/>
    </w:pPr>
    <w:rPr>
      <w:color w:val="000000"/>
    </w:rPr>
  </w:style>
  <w:style w:type="paragraph" w:styleId="Titulek">
    <w:name w:val="caption"/>
    <w:basedOn w:val="Normln"/>
    <w:next w:val="Normln"/>
    <w:pPr>
      <w:spacing w:after="200" w:line="100" w:lineRule="atLeast"/>
      <w:jc w:val="center"/>
    </w:pPr>
    <w:rPr>
      <w:bCs w:val="1"/>
      <w:color w:val="000000"/>
      <w:sz w:val="18"/>
      <w:szCs w:val="18"/>
    </w:rPr>
  </w:style>
  <w:style w:type="paragraph" w:styleId="Obsahtabulky" w:customStyle="1">
    <w:name w:val="Obsah tabulky"/>
    <w:basedOn w:val="Normln"/>
    <w:pPr>
      <w:suppressLineNumbers w:val="1"/>
    </w:pPr>
    <w:rPr>
      <w:color w:val="000000"/>
    </w:rPr>
  </w:style>
  <w:style w:type="paragraph" w:styleId="Normlnweb">
    <w:name w:val="Normal (Web)"/>
    <w:basedOn w:val="Normln"/>
    <w:qFormat w:val="1"/>
    <w:pPr>
      <w:suppressAutoHyphens w:val="1"/>
      <w:spacing w:after="100" w:afterAutospacing="1" w:before="100" w:beforeAutospacing="1" w:line="240" w:lineRule="auto"/>
      <w:jc w:val="left"/>
    </w:pPr>
    <w:rPr>
      <w:rFonts w:ascii="Times New Roman" w:cs="Times New Roman" w:eastAsia="Times New Roman" w:hAnsi="Times New Roman"/>
      <w:sz w:val="24"/>
      <w:szCs w:val="24"/>
      <w:lang w:bidi="ar-SA" w:eastAsia="cs-CZ"/>
    </w:rPr>
  </w:style>
  <w:style w:type="table" w:styleId="Mkatabulky">
    <w:name w:val="Table Grid"/>
    <w:basedOn w:val="Normlntabulka"/>
    <w:pPr>
      <w:suppressAutoHyphens w:val="1"/>
      <w:spacing w:line="1" w:lineRule="atLeast"/>
      <w:ind w:left="-1" w:leftChars="-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odnadpis">
    <w:name w:val="Subtitle"/>
    <w:basedOn w:val="Normln"/>
    <w:next w:val="Normln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4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5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7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8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9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a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Textkomente">
    <w:name w:val="annotation text"/>
    <w:basedOn w:val="Normln"/>
    <w:link w:val="TextkomenteChar"/>
    <w:uiPriority w:val="99"/>
    <w:semiHidden w:val="1"/>
    <w:unhideWhenUsed w:val="1"/>
    <w:pPr>
      <w:spacing w:line="240" w:lineRule="auto"/>
    </w:pPr>
    <w:rPr>
      <w:rFonts w:cs="Mangal"/>
      <w:szCs w:val="18"/>
    </w:rPr>
  </w:style>
  <w:style w:type="character" w:styleId="TextkomenteChar" w:customStyle="1">
    <w:name w:val="Text komentáře Char"/>
    <w:basedOn w:val="Standardnpsmoodstavce"/>
    <w:link w:val="Textkomente"/>
    <w:uiPriority w:val="99"/>
    <w:semiHidden w:val="1"/>
    <w:rPr>
      <w:rFonts w:cs="Mangal"/>
      <w:position w:val="-1"/>
      <w:szCs w:val="18"/>
      <w:lang w:bidi="hi-IN" w:eastAsia="hi-IN"/>
    </w:rPr>
  </w:style>
  <w:style w:type="character" w:styleId="Odkaznakoment">
    <w:name w:val="annotation reference"/>
    <w:basedOn w:val="Standardnpsmoodstavce"/>
    <w:uiPriority w:val="99"/>
    <w:semiHidden w:val="1"/>
    <w:unhideWhenUsed w:val="1"/>
    <w:rPr>
      <w:sz w:val="16"/>
      <w:szCs w:val="16"/>
    </w:rPr>
  </w:style>
  <w:style w:type="paragraph" w:styleId="Textbubliny">
    <w:name w:val="Balloon Text"/>
    <w:basedOn w:val="Normln"/>
    <w:link w:val="TextbublinyChar"/>
    <w:uiPriority w:val="99"/>
    <w:semiHidden w:val="1"/>
    <w:unhideWhenUsed w:val="1"/>
    <w:rsid w:val="002524C9"/>
    <w:pPr>
      <w:spacing w:after="0" w:line="240" w:lineRule="auto"/>
    </w:pPr>
    <w:rPr>
      <w:rFonts w:ascii="Tahoma" w:cs="Mangal" w:hAnsi="Tahoma"/>
      <w:sz w:val="16"/>
      <w:szCs w:val="14"/>
    </w:rPr>
  </w:style>
  <w:style w:type="character" w:styleId="TextbublinyChar" w:customStyle="1">
    <w:name w:val="Text bubliny Char"/>
    <w:basedOn w:val="Standardnpsmoodstavce"/>
    <w:link w:val="Textbubliny"/>
    <w:uiPriority w:val="99"/>
    <w:semiHidden w:val="1"/>
    <w:rsid w:val="002524C9"/>
    <w:rPr>
      <w:rFonts w:ascii="Tahoma" w:cs="Mangal" w:hAnsi="Tahoma"/>
      <w:position w:val="-1"/>
      <w:sz w:val="16"/>
      <w:szCs w:val="14"/>
      <w:lang w:bidi="hi-IN" w:eastAsia="hi-IN"/>
    </w:rPr>
  </w:style>
  <w:style w:type="paragraph" w:styleId="1StrNN-X" w:customStyle="1">
    <w:name w:val="1StrNN-X"/>
    <w:basedOn w:val="Normln"/>
    <w:rsid w:val="002524C9"/>
    <w:pPr>
      <w:widowControl w:val="0"/>
      <w:suppressAutoHyphens w:val="1"/>
      <w:spacing w:after="180" w:before="180" w:line="340" w:lineRule="exact"/>
      <w:ind w:left="0" w:right="567" w:leftChars="0" w:firstLine="0" w:firstLineChars="0"/>
      <w:jc w:val="left"/>
      <w:textDirection w:val="lrTb"/>
      <w:textAlignment w:val="auto"/>
      <w:outlineLvl w:val="9"/>
    </w:pPr>
    <w:rPr>
      <w:b w:val="1"/>
      <w:position w:val="0"/>
      <w:sz w:val="28"/>
      <w:lang w:bidi="ar-SA" w:eastAsia="cs-CZ"/>
    </w:rPr>
  </w:style>
  <w:style w:type="table" w:styleId="ab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c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d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e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0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Bezmezer">
    <w:name w:val="No Spacing"/>
    <w:uiPriority w:val="1"/>
    <w:qFormat w:val="1"/>
    <w:rsid w:val="00194C61"/>
    <w:pPr>
      <w:spacing w:after="0" w:line="240" w:lineRule="auto"/>
      <w:ind w:left="-1" w:leftChars="-1" w:hangingChars="1"/>
      <w:textDirection w:val="btLr"/>
      <w:textAlignment w:val="top"/>
      <w:outlineLvl w:val="0"/>
    </w:pPr>
    <w:rPr>
      <w:rFonts w:cs="Mangal"/>
      <w:position w:val="-1"/>
      <w:szCs w:val="18"/>
      <w:lang w:bidi="hi-IN" w:eastAsia="hi-IN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2" Type="http://schemas.openxmlformats.org/officeDocument/2006/relationships/footer" Target="foot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://www.itsterminology.org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6tIJlIt1lJkrpvwO4F8J65+MjIA==">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2021-03-11T08:43:00Z</dcterms:created>
  <dc:creator>Petr Bureš</dc:creator>
</cp:coreProperties>
</file>