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21: Geografické odkazování na polohu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</w:t>
      </w:r>
      <w:r w:rsidDel="00000000" w:rsidR="00000000" w:rsidRPr="00000000">
        <w:rPr>
          <w:sz w:val="28"/>
          <w:szCs w:val="28"/>
          <w:rtl w:val="0"/>
        </w:rPr>
        <w:t xml:space="preserve">8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, </w:t>
      </w:r>
      <w:r w:rsidDel="00000000" w:rsidR="00000000" w:rsidRPr="00000000">
        <w:rPr>
          <w:sz w:val="28"/>
          <w:szCs w:val="28"/>
          <w:rtl w:val="0"/>
        </w:rPr>
        <w:t xml:space="preserve">26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</w:t>
      </w:r>
      <w:r w:rsidDel="00000000" w:rsidR="00000000" w:rsidRPr="00000000">
        <w:rPr>
          <w:color w:val="000000"/>
          <w:rtl w:val="0"/>
        </w:rPr>
        <w:t xml:space="preserve"> část 21 norm</w:t>
      </w:r>
      <w:r w:rsidDel="00000000" w:rsidR="00000000" w:rsidRPr="00000000">
        <w:rPr>
          <w:color w:val="000000"/>
          <w:rtl w:val="0"/>
        </w:rPr>
        <w:t xml:space="preserve">y TPEG „Geografické odkazování na polohu (GLR)”, která specifikuje použití metody GLR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color w:val="000000"/>
          <w:rtl w:val="0"/>
        </w:rPr>
        <w:t xml:space="preserve">Popisovaný dokument stanovuje strukturu pro </w:t>
      </w:r>
      <w:r w:rsidDel="00000000" w:rsidR="00000000" w:rsidRPr="00000000">
        <w:rPr>
          <w:b w:val="1"/>
          <w:color w:val="000000"/>
          <w:rtl w:val="0"/>
        </w:rPr>
        <w:t xml:space="preserve">geografické odkazování na polohu</w:t>
      </w:r>
      <w:r w:rsidDel="00000000" w:rsidR="00000000" w:rsidRPr="00000000">
        <w:rPr>
          <w:color w:val="000000"/>
          <w:rtl w:val="0"/>
        </w:rPr>
        <w:t xml:space="preserve"> pomocí geometrických objektů: bod, lomená linie a polygon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geografické odkazování na polohu, její obecné požadavky a stanoví strukturu zpráv TPEG pro odkazování na polohu touto metodou.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GLR je metoda využívaná výhradně normami TPEG pro aplikace poskytující informace o geografických polohách, např. informace o počasí. Použití metody GLR umožňuje zobrazení polohy na mapě, není určena pro navigační přístroje či pro přímé propojení do mapy. Popisovanými místy mohou být body, linie či polygony.</w:t>
      </w:r>
    </w:p>
    <w:p w:rsidR="00000000" w:rsidDel="00000000" w:rsidP="00000000" w:rsidRDefault="00000000" w:rsidRPr="00000000" w14:paraId="00000011">
      <w:pPr>
        <w:keepNext w:val="1"/>
        <w:keepLines w:val="1"/>
        <w:spacing w:after="180" w:before="240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2 Souvisící normy</w:t>
      </w:r>
    </w:p>
    <w:p w:rsidR="00000000" w:rsidDel="00000000" w:rsidP="00000000" w:rsidRDefault="00000000" w:rsidRPr="00000000" w14:paraId="00000012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Popisovaný dokument uvádí 6 normativních odkazů na normu TPEG2 ISO 21219 části 1-5,7. Klíčovou je zejména norma na kontejner pro odkazování na polohu (21219-7, TPEG2-LRC). Pro sestavení zpráv z kontejnerů, odvození z modelu UML, vysílání zpráv a řízení toku jsou použity další části normy TPEG (1-5).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 termín</w:t>
      </w:r>
      <w:r w:rsidDel="00000000" w:rsidR="00000000" w:rsidRPr="00000000">
        <w:rPr>
          <w:rtl w:val="0"/>
        </w:rPr>
        <w:t xml:space="preserve"> “</w:t>
      </w:r>
      <w:r w:rsidDel="00000000" w:rsidR="00000000" w:rsidRPr="00000000">
        <w:rPr>
          <w:b w:val="1"/>
          <w:color w:val="000000"/>
          <w:rtl w:val="0"/>
        </w:rPr>
        <w:t xml:space="preserve">bod zájmu</w:t>
      </w:r>
      <w:r w:rsidDel="00000000" w:rsidR="00000000" w:rsidRPr="00000000">
        <w:rPr>
          <w:b w:val="1"/>
          <w:rtl w:val="0"/>
        </w:rPr>
        <w:t xml:space="preserve">”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point of interest</w:t>
      </w:r>
      <w:r w:rsidDel="00000000" w:rsidR="00000000" w:rsidRPr="00000000">
        <w:rPr>
          <w:i w:val="1"/>
          <w:color w:val="000000"/>
          <w:rtl w:val="0"/>
        </w:rPr>
        <w:t xml:space="preserve">)</w:t>
      </w:r>
      <w:r w:rsidDel="00000000" w:rsidR="00000000" w:rsidRPr="00000000">
        <w:rPr>
          <w:color w:val="000000"/>
          <w:rtl w:val="0"/>
        </w:rPr>
        <w:t xml:space="preserve"> pro který vytváříme geografický popis.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tyjcwt" w:id="4"/>
      <w:bookmarkEnd w:id="4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 Symboly a zkratky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14 zkratek </w:t>
      </w:r>
      <w:r w:rsidDel="00000000" w:rsidR="00000000" w:rsidRPr="00000000">
        <w:rPr>
          <w:rtl w:val="0"/>
        </w:rPr>
        <w:t xml:space="preserve">z nichž důležitá je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GLR</w:t>
      </w:r>
      <w:r w:rsidDel="00000000" w:rsidR="00000000" w:rsidRPr="00000000">
        <w:rPr>
          <w:color w:val="000000"/>
          <w:rtl w:val="0"/>
        </w:rPr>
        <w:tab/>
        <w:t xml:space="preserve">geografické odkazování na polohu </w:t>
      </w:r>
      <w:r w:rsidDel="00000000" w:rsidR="00000000" w:rsidRPr="00000000">
        <w:rPr>
          <w:i w:val="1"/>
          <w:color w:val="000000"/>
          <w:rtl w:val="0"/>
        </w:rPr>
        <w:t xml:space="preserve">(Geographic Location Reference)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6 Struktura GLR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4 strany, 5 obrázků) obsahuje obecný popis metod GLR. 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Nejprve je uveden UML model celé struktury GLR, která používá referenční systém WGS84.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metody geografického popisu jsou uvedeny v podkapitolách: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Obdélníkový geografický výřez ohraničující určité body zájmu (bounding box) 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Kruhová geografická oblast či její výřez ohraničující určité body zájmu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Bodová geografická poloha stanovující konkrétní bod zájmu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Liniová geografická poloha stanovující konkrétní linii zájmu, nejedná se o silnici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Geografická oblast vymezená polygonem s možností uvedení podřízených oblastí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360" w:firstLine="0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center"/>
        <w:rPr>
          <w:b w:val="1"/>
          <w:color w:val="000000"/>
        </w:rPr>
      </w:pPr>
      <w:r w:rsidDel="00000000" w:rsidR="00000000" w:rsidRPr="00000000">
        <w:rPr/>
        <w:drawing>
          <wp:inline distB="0" distT="0" distL="0" distR="0">
            <wp:extent cx="3860165" cy="3479800"/>
            <wp:effectExtent b="0" l="0" r="0" t="0"/>
            <wp:docPr id="1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6524" r="0" t="2610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1 - Kruhová výseč ohraničující body zájmu (obrázek 4 normy)</w:t>
      </w:r>
    </w:p>
    <w:p w:rsidR="00000000" w:rsidDel="00000000" w:rsidP="00000000" w:rsidRDefault="00000000" w:rsidRPr="00000000" w14:paraId="0000002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GLR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stran, 1 tabulka) obsahuje popis jedné komponenty GLR. Ta umožňuje použití jedné z 5 výše zmíněných geografických popisů polohy.</w:t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GLR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4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8 datových struktur (typů), viz následující 3 tabulky.</w:t>
      </w:r>
    </w:p>
    <w:p w:rsidR="00000000" w:rsidDel="00000000" w:rsidP="00000000" w:rsidRDefault="00000000" w:rsidRPr="00000000" w14:paraId="0000003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- k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omplexní datové typy definované v kapitole 8 (zdroj: autor extraktu)</w:t>
      </w:r>
    </w:p>
    <w:tbl>
      <w:tblPr>
        <w:tblStyle w:val="Table2"/>
        <w:tblW w:w="10140.0" w:type="dxa"/>
        <w:jc w:val="left"/>
        <w:tblInd w:w="0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450"/>
        <w:gridCol w:w="6690"/>
        <w:tblGridChange w:id="0">
          <w:tblGrid>
            <w:gridCol w:w="3450"/>
            <w:gridCol w:w="6690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1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Datový typ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popis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3">
            <w:pPr>
              <w:rPr>
                <w:b w:val="0"/>
              </w:rPr>
            </w:pPr>
            <w:bookmarkStart w:colFirst="0" w:colLast="0" w:name="_heading=h.1t3h5sf" w:id="6"/>
            <w:bookmarkEnd w:id="6"/>
            <w:r w:rsidDel="00000000" w:rsidR="00000000" w:rsidRPr="00000000">
              <w:rPr>
                <w:b w:val="0"/>
                <w:rtl w:val="0"/>
              </w:rPr>
              <w:t xml:space="preserve">GeographicAreaReference 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4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polygon složený z bodů a další atributy, jako např. výška, jméno, odkaz do hierarchické struktury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5">
            <w:pPr>
              <w:rPr>
                <w:b w:val="0"/>
              </w:rPr>
            </w:pPr>
            <w:bookmarkStart w:colFirst="0" w:colLast="0" w:name="_heading=h.4d34og8" w:id="7"/>
            <w:bookmarkEnd w:id="7"/>
            <w:r w:rsidDel="00000000" w:rsidR="00000000" w:rsidRPr="00000000">
              <w:rPr>
                <w:b w:val="0"/>
                <w:rtl w:val="0"/>
              </w:rPr>
              <w:t xml:space="preserve">GeographicBoundingBox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6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obdélníkově ohraničená oblast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7">
            <w:pPr>
              <w:rPr>
                <w:b w:val="0"/>
              </w:rPr>
            </w:pPr>
            <w:bookmarkStart w:colFirst="0" w:colLast="0" w:name="_heading=h.2s8eyo1" w:id="8"/>
            <w:bookmarkEnd w:id="8"/>
            <w:r w:rsidDel="00000000" w:rsidR="00000000" w:rsidRPr="00000000">
              <w:rPr>
                <w:b w:val="0"/>
                <w:rtl w:val="0"/>
              </w:rPr>
              <w:t xml:space="preserve">GeographicBoundingCircleSector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8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výsek z kruhu a další atributy, jako např. výška, jméno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9">
            <w:pPr>
              <w:rPr>
                <w:b w:val="0"/>
              </w:rPr>
            </w:pPr>
            <w:bookmarkStart w:colFirst="0" w:colLast="0" w:name="_heading=h.17dp8vu" w:id="9"/>
            <w:bookmarkEnd w:id="9"/>
            <w:r w:rsidDel="00000000" w:rsidR="00000000" w:rsidRPr="00000000">
              <w:rPr>
                <w:b w:val="0"/>
                <w:rtl w:val="0"/>
              </w:rPr>
              <w:t xml:space="preserve">GeographicLineReference ...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linie složená z bodů a další atributy, jako např. výška, jméno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B">
            <w:pPr>
              <w:rPr>
                <w:b w:val="0"/>
              </w:rPr>
            </w:pPr>
            <w:bookmarkStart w:colFirst="0" w:colLast="0" w:name="_heading=h.3rdcrjn" w:id="10"/>
            <w:bookmarkEnd w:id="10"/>
            <w:r w:rsidDel="00000000" w:rsidR="00000000" w:rsidRPr="00000000">
              <w:rPr>
                <w:b w:val="0"/>
                <w:rtl w:val="0"/>
              </w:rPr>
              <w:t xml:space="preserve">GeographicPointReference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C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bodová poloha a další atributy, jako např. výška, jméno.</w:t>
            </w:r>
          </w:p>
        </w:tc>
      </w:tr>
    </w:tbl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2 -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základní datové typy definované v kapitole 8 (zdroj: autor extraktu)</w:t>
      </w:r>
    </w:p>
    <w:tbl>
      <w:tblPr>
        <w:tblStyle w:val="Table3"/>
        <w:tblW w:w="10138.0" w:type="dxa"/>
        <w:jc w:val="left"/>
        <w:tblInd w:w="0.0" w:type="dxa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3185"/>
        <w:gridCol w:w="6953"/>
        <w:tblGridChange w:id="0">
          <w:tblGrid>
            <w:gridCol w:w="3185"/>
            <w:gridCol w:w="6953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F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Datový typ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0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popis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1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CircleSector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výsek z kruhu (základní datový typ)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3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Coordinate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4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pár souřadnic (základní datový typ)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5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Hierarchical Area Name ..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46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název podřízené oblasti (základní datový typ)</w:t>
            </w:r>
          </w:p>
        </w:tc>
      </w:tr>
    </w:tbl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uvádí příklad tabulky 9 </w:t>
      </w:r>
      <w:r w:rsidDel="00000000" w:rsidR="00000000" w:rsidRPr="00000000">
        <w:rPr>
          <w:rtl w:val="0"/>
        </w:rPr>
        <w:t xml:space="preserve">HierarchicalAreaName</w:t>
      </w:r>
      <w:r w:rsidDel="00000000" w:rsidR="00000000" w:rsidRPr="00000000">
        <w:rPr>
          <w:color w:val="000000"/>
          <w:rtl w:val="0"/>
        </w:rPr>
        <w:t xml:space="preserve"> z normy</w:t>
      </w:r>
    </w:p>
    <w:p w:rsidR="00000000" w:rsidDel="00000000" w:rsidP="00000000" w:rsidRDefault="00000000" w:rsidRPr="00000000" w14:paraId="0000004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3 - typ HierarchicalAreaName (Tabulka 9 normy)</w:t>
      </w:r>
    </w:p>
    <w:tbl>
      <w:tblPr>
        <w:tblStyle w:val="Table4"/>
        <w:tblW w:w="10080.0" w:type="dxa"/>
        <w:jc w:val="left"/>
        <w:tblInd w:w="0.0" w:type="dxa"/>
        <w:tblLayout w:type="fixed"/>
        <w:tblLook w:val="0000"/>
      </w:tblPr>
      <w:tblGrid>
        <w:gridCol w:w="1845"/>
        <w:gridCol w:w="2040"/>
        <w:gridCol w:w="1260"/>
        <w:gridCol w:w="4935"/>
        <w:tblGridChange w:id="0">
          <w:tblGrid>
            <w:gridCol w:w="1845"/>
            <w:gridCol w:w="2040"/>
            <w:gridCol w:w="1260"/>
            <w:gridCol w:w="4935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násobnost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popis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languageCode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typ001:LanguageCode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Určuje místní jazyk používaný pro názvy tvořící název hierarchické oblasti..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areaName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ShortString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Celkový název funkce odkazu na oblast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detailAreaName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ShortString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1..*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Jeden nebo více podrobných názvů oblastí odkazu na oblast</w:t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GLR</w:t>
      </w:r>
    </w:p>
    <w:p w:rsidR="00000000" w:rsidDel="00000000" w:rsidP="00000000" w:rsidRDefault="00000000" w:rsidRPr="00000000" w14:paraId="0000005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prázdná kapitola pouze uvádí, že specifikace GLR nestanovuje žádné vlastní výčtové typy (tabulky).</w:t>
      </w:r>
    </w:p>
    <w:p w:rsidR="00000000" w:rsidDel="00000000" w:rsidP="00000000" w:rsidRDefault="00000000" w:rsidRPr="00000000" w14:paraId="0000005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(normativní) – TPEG-bin reprezentace GLR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Tato příloha (rozsah 7 stran) stanovuje binární reprezentaci aplikace pro geografické odkazování na polohu (GLR)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Příloha obsahuje samostatně uvedené binární reprezentace rámce TPEG, zprávy GLR a jejích součástí, prvků určených pro budoucí rozšíření a datových typů. Dále obsahuje identifikátory komponent zprávy a vysvětlení použití obecných atributů TPEG. V následující tabulce je uveden příklad pseudokódu binární specifikace prvku CircleSector.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6in1rg" w:id="11"/>
      <w:bookmarkEnd w:id="11"/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rtl w:val="0"/>
        </w:rPr>
        <w:t xml:space="preserve">4 -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Příklad pseudokódu binární specifikace elementu CircleSector (nečíslovaná část)</w:t>
      </w:r>
    </w:p>
    <w:tbl>
      <w:tblPr>
        <w:tblStyle w:val="Table5"/>
        <w:tblW w:w="10138.0" w:type="dxa"/>
        <w:jc w:val="left"/>
        <w:tblInd w:w="0.0" w:type="dxa"/>
        <w:tblLayout w:type="fixed"/>
        <w:tblLook w:val="0000"/>
      </w:tblPr>
      <w:tblGrid>
        <w:gridCol w:w="2942"/>
        <w:gridCol w:w="7196"/>
        <w:tblGridChange w:id="0">
          <w:tblGrid>
            <w:gridCol w:w="2942"/>
            <w:gridCol w:w="7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&lt;CircleSector()&gt;:=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&lt;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IntUnTi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&gt;(sectorStartAngle),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Úhel azimutu pro začátek zájmového sektoru kruhu.</w:t>
            </w:r>
          </w:p>
          <w:p w:rsidR="00000000" w:rsidDel="00000000" w:rsidP="00000000" w:rsidRDefault="00000000" w:rsidRPr="00000000" w14:paraId="0000006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sektorStartAngle se měří ve směru hodinových ručiček od zeměpisného severu, vyjádřený v jednotkách 360/256 stupňů.</w:t>
            </w:r>
          </w:p>
          <w:p w:rsidR="00000000" w:rsidDel="00000000" w:rsidP="00000000" w:rsidRDefault="00000000" w:rsidRPr="00000000" w14:paraId="000000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 &lt;</w:t>
            </w: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IntUnTi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&gt;(sectorEndAngle);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Úhel azimutu ke konci zájmového sektoru kruhu.</w:t>
            </w:r>
          </w:p>
          <w:p w:rsidR="00000000" w:rsidDel="00000000" w:rsidP="00000000" w:rsidRDefault="00000000" w:rsidRPr="00000000" w14:paraId="000000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SektorEndAngle se měří ve směru hodinových ručiček od zeměpisného severu, vyjádřený v jednotkách 360/256 stupňů.</w:t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– TPEG-ML reprezentace GLR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5 stran) obsahuje nejprve samostatně uvedené XML schéma rámce TPEG, zprávy GLR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GLR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 name="GeographicPointReference"&gt;  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&lt;xs:sequence&gt;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name="point" type="Coordinate" /&gt;</w:t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name="isFuzzyPoint" type="tdt:Boolean" /&gt;</w:t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name="altitudeMSL" type="tdt:IntSiLoMB" minOccurs="0" /&gt;</w:t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name="pointFeatureName" type="tdt:LocalisedShortString" minOccurs="0" maxOccurs="unbounded" /&gt;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name="adjacentRoadDescriptor" type="tdt:LocalisedShortString" minOccurs="0" maxOccurs="unbounded" /&gt;</w:t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  &lt;xs:element name="adjacentRoadSideTravelDirection" type="tdt:IntUnTi" minOccurs="0" /&gt;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  &lt;/xs:sequence&gt;</w:t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0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</w:t>
      </w:r>
    </w:p>
    <w:p w:rsidR="00000000" w:rsidDel="00000000" w:rsidP="00000000" w:rsidRDefault="00000000" w:rsidRPr="00000000" w14:paraId="0000007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tl w:val="0"/>
        </w:rPr>
        <w:t xml:space="preserve">2 - </w:t>
      </w:r>
      <w:r w:rsidDel="00000000" w:rsidR="00000000" w:rsidRPr="00000000">
        <w:rPr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Výstřižek schématu XSD stanovujícího strukturu prvku GeographicPointReference</w:t>
      </w:r>
    </w:p>
    <w:p w:rsidR="00000000" w:rsidDel="00000000" w:rsidP="00000000" w:rsidRDefault="00000000" w:rsidRPr="00000000" w14:paraId="0000007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jeden (nečíslovaný) odkaz na v textu použité koncepty, XML schéma.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sectPr>
      <w:footerReference r:id="rId10" w:type="default"/>
      <w:footerReference r:id="rId11" w:type="first"/>
      <w:footerReference r:id="rId12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A5452"/>
    <w:pPr>
      <w:widowControl w:val="0"/>
      <w:numPr>
        <w:numId w:val="34"/>
      </w:numPr>
      <w:contextualSpacing w:val="1"/>
    </w:pPr>
    <w:rPr>
      <w:rFonts w:cs="Arial" w:eastAsia="Arial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Titulek1" w:customStyle="1">
    <w:name w:val="Titulek1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Bezmezer1" w:customStyle="1">
    <w:name w:val="Bez mezer1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Odstavecseseznamem2" w:customStyle="1">
    <w:name w:val="Odstavec se seznamem2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widowControl w:val="0"/>
    </w:pPr>
    <w:rPr>
      <w:b w:val="1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</w:style>
  <w:style w:type="table" w:styleId="Table3">
    <w:basedOn w:val="TableNormal"/>
    <w:pPr>
      <w:widowControl w:val="0"/>
    </w:pPr>
    <w:rPr>
      <w:b w:val="1"/>
      <w:color w:val="000000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auto" w:val="clear"/>
    </w:tc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5eZD8/OY1nRQv9gZzt02Aunu2HA==">AMUW2mXSoMjHFPRi8JCcrIOfoRI3I8wuJnV9rpqN99DzvI7fJF4ZSjSvEK8xgr645w20XOvqcqBknhXdHgEXW9JxTfU/mECXkc67A4eW0jEnfF0yzxPOTCtDRFQENdRLHIk+YoCubUsPq4jt6lUFImYihWZpd6xpZ8TH+ZhIdxUZqhwHZdS1dApU+0T7aTia8MzgRf1dHcLSUydm663VGC6WO7gNknVD1UDTFCcmnYRICJrCdn8G+8XfzLoF02R0ZfBNDVIVrl4NVXx53J7TAeoPfS64tkc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