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-449577</wp:posOffset>
            </wp:positionV>
            <wp:extent cx="75565" cy="151765"/>
            <wp:effectExtent b="0" l="0" r="0" t="0"/>
            <wp:wrapSquare wrapText="bothSides" distB="0" distT="0" distL="114300" distR="114300"/>
            <wp:docPr id="104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/>
      </w:sdt>
      <w:sdt>
        <w:sdtPr>
          <w:tag w:val="goog_rdk_1"/>
        </w:sdtPr>
        <w:sdtContent/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Dopravní a cestovní informace (TTI) v dopravním protokolu expertní skupiny, druhá generace (TPEG2)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-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Část 23: Aplikace pro informace o multimodálních trasách (TPEG2-RMR)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16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43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23 normy TPEG „Aplikace pro informace o multimodálních trasách (TPEG2-RMR)”, která specifikuje 3 struktury pro popis multimodální trasy a strukturu pro požadavek na vygenerování tras(y).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multimodální trase. Počítá s vysíláním tras bez upřesnění požadavku ze strany uživatele (broadcast) i s upřesněním požadavku uživatelem v rámci relace mezi terminálem uživatele a serverem služby RMR. Tato aplikace specifikuje, jak by měla relace mezi serverem a terminálem vypadat a jak by měly být strukturované požadavek a odpověď. Je nezbytný pro analytiky provozovatele multimodálního vyhledávače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multimodálních trasách</w:t>
      </w:r>
      <w:r w:rsidDel="00000000" w:rsidR="00000000" w:rsidRPr="00000000">
        <w:rPr>
          <w:color w:val="000000"/>
          <w:rtl w:val="0"/>
        </w:rPr>
        <w:t xml:space="preserve">“.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služeb multimodálního navádění na trasu zahrnující více dopravních prostředků a módů dopravy, včetně parkování. Jedná se například o popis optimální multimodální trasy autem na nádraží s parkovištěm, poté vlakové spojení do přestupní stanice a spoj místní veřejné dopravy do cílového místa cestujícího. </w:t>
      </w:r>
      <w:r w:rsidDel="00000000" w:rsidR="00000000" w:rsidRPr="00000000">
        <w:rPr>
          <w:rtl w:val="0"/>
        </w:rPr>
        <w:t xml:space="preserve">Tato aplikace umožňuje využití P2P spojení uživatel- server, kdy se udržuje relace mezi vyhledávačem a aplikací (terminálem) uživatele.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10 normativních odkazů na normu TPEG2 ISO 21219 části 1-6,14; TPEG1 ISO 18234-3,11 a specifikaci TISA SP10022. Klíčové normy jsou: kontejner odkazování na polohu (18234-11, TPEG1-LRC) a informace o parkování (21219-14, TPEG2-PKI). Pro sestavení zpráv z kontejnerů, odvození z modelu UML, vysílání zpráv a řízení datového toku jsou použity další části normy TPEG2 (1-6) a TPEG1 3.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3 termíny.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kontejner pro management zprávy; MMC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(message management container) </w:t>
      </w:r>
      <w:r w:rsidDel="00000000" w:rsidR="00000000" w:rsidRPr="00000000">
        <w:rPr>
          <w:rtl w:val="0"/>
        </w:rPr>
        <w:t xml:space="preserve">část zprávy obsahující informace pro sestavení zprávy z dalších “aplikačního” a “polohového” kontejneru či pro řízení zprávy (například její zrušení).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65y1mt6m073l" w:id="14"/>
      <w:bookmarkEnd w:id="14"/>
      <w:r w:rsidDel="00000000" w:rsidR="00000000" w:rsidRPr="00000000">
        <w:rPr>
          <w:b w:val="1"/>
          <w:rtl w:val="0"/>
        </w:rPr>
        <w:t xml:space="preserve">kontejner pro odkazování na polohu; LRC </w:t>
      </w:r>
      <w:r w:rsidDel="00000000" w:rsidR="00000000" w:rsidRPr="00000000">
        <w:rPr>
          <w:i w:val="1"/>
          <w:rtl w:val="0"/>
        </w:rPr>
        <w:t xml:space="preserve">(location referencing container)  </w:t>
      </w:r>
      <w:r w:rsidDel="00000000" w:rsidR="00000000" w:rsidRPr="00000000">
        <w:rPr>
          <w:rtl w:val="0"/>
        </w:rPr>
        <w:t xml:space="preserve">část zprávy obsahující  informace o poloze odkazované dopravní informace či odkazovaného stav</w:t>
      </w:r>
      <w:r w:rsidDel="00000000" w:rsidR="00000000" w:rsidRPr="00000000">
        <w:rPr>
          <w:rtl w:val="0"/>
        </w:rPr>
        <w:t xml:space="preserve">u dopravní situace.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713qvuvjb6b4" w:id="15"/>
      <w:bookmarkEnd w:id="15"/>
      <w:r w:rsidDel="00000000" w:rsidR="00000000" w:rsidRPr="00000000">
        <w:rPr>
          <w:b w:val="1"/>
          <w:color w:val="000000"/>
          <w:rtl w:val="0"/>
        </w:rPr>
        <w:t xml:space="preserve">odkazování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(Location Referencing)</w:t>
      </w:r>
      <w:r w:rsidDel="00000000" w:rsidR="00000000" w:rsidRPr="00000000">
        <w:rPr>
          <w:color w:val="000000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k2373fclpmbw" w:id="16"/>
      <w:bookmarkEnd w:id="16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17 zkratek, důležité z pohledu tohoto extraktu jsou: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MMR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multimodální trasa</w:t>
      </w:r>
      <w:r w:rsidDel="00000000" w:rsidR="00000000" w:rsidRPr="00000000">
        <w:rPr>
          <w:i w:val="1"/>
          <w:rtl w:val="0"/>
        </w:rPr>
        <w:t xml:space="preserve"> (Multimodal Route)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RMR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multimodálních trasách </w:t>
      </w:r>
      <w:r w:rsidDel="00000000" w:rsidR="00000000" w:rsidRPr="00000000">
        <w:rPr>
          <w:i w:val="1"/>
          <w:rtl w:val="0"/>
        </w:rPr>
        <w:t xml:space="preserve">(Road and Multimodal Routes application)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PKI</w:t>
      </w:r>
      <w:r w:rsidDel="00000000" w:rsidR="00000000" w:rsidRPr="00000000">
        <w:rPr>
          <w:i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parkování</w:t>
      </w:r>
      <w:r w:rsidDel="00000000" w:rsidR="00000000" w:rsidRPr="00000000">
        <w:rPr>
          <w:i w:val="1"/>
          <w:rtl w:val="0"/>
        </w:rPr>
        <w:t xml:space="preserve"> (Parking Information application)</w:t>
      </w:r>
    </w:p>
    <w:p w:rsidR="00000000" w:rsidDel="00000000" w:rsidP="00000000" w:rsidRDefault="00000000" w:rsidRPr="00000000" w14:paraId="00000022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GLR</w:t>
      </w:r>
      <w:r w:rsidDel="00000000" w:rsidR="00000000" w:rsidRPr="00000000">
        <w:rPr>
          <w:rtl w:val="0"/>
        </w:rPr>
        <w:tab/>
        <w:t xml:space="preserve">geografické odkazování na polohu </w:t>
      </w:r>
      <w:r w:rsidDel="00000000" w:rsidR="00000000" w:rsidRPr="00000000">
        <w:rPr>
          <w:i w:val="1"/>
          <w:rtl w:val="0"/>
        </w:rPr>
        <w:t xml:space="preserve">(Geographic Location Reference)</w:t>
      </w:r>
    </w:p>
    <w:p w:rsidR="00000000" w:rsidDel="00000000" w:rsidP="00000000" w:rsidRDefault="00000000" w:rsidRPr="00000000" w14:paraId="00000023">
      <w:pPr>
        <w:ind w:firstLine="0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5">
      <w:pPr>
        <w:pStyle w:val="Heading1"/>
        <w:ind w:left="0" w:hanging="2"/>
        <w:rPr/>
      </w:pPr>
      <w:bookmarkStart w:colFirst="0" w:colLast="0" w:name="_heading=h.qfqfpgofc94p" w:id="17"/>
      <w:bookmarkEnd w:id="17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8"/>
      <w:bookmarkEnd w:id="18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Identifikátor aplikace</w:t>
      </w:r>
      <w:r w:rsidDel="00000000" w:rsidR="00000000" w:rsidRPr="00000000">
        <w:rPr>
          <w:color w:val="000000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Verzi aplikace</w:t>
      </w:r>
      <w:r w:rsidDel="00000000" w:rsidR="00000000" w:rsidRPr="00000000">
        <w:rPr>
          <w:color w:val="000000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Pořadí kontejnerů</w:t>
      </w:r>
      <w:r w:rsidDel="00000000" w:rsidR="00000000" w:rsidRPr="00000000">
        <w:rPr>
          <w:color w:val="000000"/>
          <w:rtl w:val="0"/>
        </w:rPr>
        <w:t xml:space="preserve">, ze kterých je zpráva složena. Zpráva se skládá z kontejneru pro management zpráv (MMC), </w:t>
      </w:r>
      <w:r w:rsidDel="00000000" w:rsidR="00000000" w:rsidRPr="00000000">
        <w:rPr>
          <w:color w:val="000000"/>
          <w:rtl w:val="0"/>
        </w:rPr>
        <w:t xml:space="preserve">kontejneru </w:t>
      </w:r>
      <w:r w:rsidDel="00000000" w:rsidR="00000000" w:rsidRPr="00000000">
        <w:rPr>
          <w:rtl w:val="0"/>
        </w:rPr>
        <w:t xml:space="preserve">pro popis </w:t>
      </w:r>
      <w:r w:rsidDel="00000000" w:rsidR="00000000" w:rsidRPr="00000000">
        <w:rPr>
          <w:color w:val="000000"/>
          <w:rtl w:val="0"/>
        </w:rPr>
        <w:t xml:space="preserve">aplikace</w:t>
      </w:r>
      <w:r w:rsidDel="00000000" w:rsidR="00000000" w:rsidRPr="00000000">
        <w:rPr>
          <w:color w:val="000000"/>
          <w:rtl w:val="0"/>
        </w:rPr>
        <w:t xml:space="preserve"> (ADC) a kontejneru pro odkazování na polohu (LRC). 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Rozšiřitelnost a zpětnou kompatibilitu</w:t>
      </w:r>
      <w:r w:rsidDel="00000000" w:rsidR="00000000" w:rsidRPr="00000000">
        <w:rPr>
          <w:color w:val="000000"/>
          <w:rtl w:val="0"/>
        </w:rPr>
        <w:t xml:space="preserve">, jako požadavek na přeskočení neznámých částí zprávy dekodérem a specifikaci v budoucnu rozšiřitelných částí struktur TPEG zprávy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hanging="360"/>
        <w:jc w:val="left"/>
        <w:rPr>
          <w:color w:val="000000"/>
          <w:u w:val="none"/>
        </w:rPr>
      </w:pPr>
      <w:r w:rsidDel="00000000" w:rsidR="00000000" w:rsidRPr="00000000">
        <w:rPr>
          <w:b w:val="1"/>
          <w:color w:val="000000"/>
          <w:rtl w:val="0"/>
        </w:rPr>
        <w:t xml:space="preserve">Rámec komponent služby TPEG</w:t>
      </w:r>
      <w:r w:rsidDel="00000000" w:rsidR="00000000" w:rsidRPr="00000000">
        <w:rPr>
          <w:color w:val="000000"/>
          <w:rtl w:val="0"/>
        </w:rPr>
        <w:t xml:space="preserve"> dle ISO/TS 21219-5.</w:t>
      </w:r>
    </w:p>
    <w:p w:rsidR="00000000" w:rsidDel="00000000" w:rsidP="00000000" w:rsidRDefault="00000000" w:rsidRPr="00000000" w14:paraId="0000002C">
      <w:pPr>
        <w:pStyle w:val="Heading1"/>
        <w:ind w:left="0" w:hanging="2"/>
        <w:rPr/>
      </w:pPr>
      <w:bookmarkStart w:colFirst="0" w:colLast="0" w:name="_heading=h.70y3xb1dvgqi" w:id="19"/>
      <w:bookmarkEnd w:id="19"/>
      <w:r w:rsidDel="00000000" w:rsidR="00000000" w:rsidRPr="00000000">
        <w:rPr>
          <w:rtl w:val="0"/>
        </w:rPr>
        <w:t xml:space="preserve">6 Struktura RMR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6 stran,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obrázk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color w:val="000000"/>
          <w:rtl w:val="0"/>
        </w:rPr>
        <w:t xml:space="preserve">, viz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obsahuje UML model 2 zpráv aplikace </w:t>
      </w:r>
      <w:r w:rsidDel="00000000" w:rsidR="00000000" w:rsidRPr="00000000">
        <w:rPr>
          <w:rtl w:val="0"/>
        </w:rPr>
        <w:t xml:space="preserve">RMR, zprávy z požadavkem na sestavení trasy cesty a zprávy se sestavenou trasou multimodální cesty.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20"/>
      <w:bookmarkEnd w:id="20"/>
      <w:r w:rsidDel="00000000" w:rsidR="00000000" w:rsidRPr="00000000">
        <w:rPr/>
        <w:drawing>
          <wp:inline distB="114300" distT="114300" distL="114300" distR="114300">
            <wp:extent cx="5760410" cy="4495800"/>
            <wp:effectExtent b="0" l="0" r="0" t="0"/>
            <wp:docPr id="104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RMR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Sestavené trasy cest mohou obsahovat různou kombinaci dopravních módů (viz následujcí obrázek). O smysluplné kombinaci dopravních módů rozhoduje Služba RMR.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60410" cy="1498600"/>
            <wp:effectExtent b="0" l="0" r="0" t="0"/>
            <wp:docPr id="104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2 - Kombinace módů dopravy při cestě do místa určení (obrázek 4 normy)</w:t>
      </w:r>
    </w:p>
    <w:p w:rsidR="00000000" w:rsidDel="00000000" w:rsidP="00000000" w:rsidRDefault="00000000" w:rsidRPr="00000000" w14:paraId="00000033">
      <w:pPr>
        <w:ind w:left="0" w:hanging="2"/>
        <w:rPr/>
      </w:pPr>
      <w:r w:rsidDel="00000000" w:rsidR="00000000" w:rsidRPr="00000000">
        <w:rPr>
          <w:rtl w:val="0"/>
        </w:rPr>
        <w:t xml:space="preserve">Článek 6.2 Scénáře, vlastnosti a požadavky stanovuje </w:t>
      </w:r>
      <w:r w:rsidDel="00000000" w:rsidR="00000000" w:rsidRPr="00000000">
        <w:rPr>
          <w:b w:val="1"/>
          <w:rtl w:val="0"/>
        </w:rPr>
        <w:t xml:space="preserve">několik různých struktur zprávy RMR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pouze MMC, pro </w:t>
      </w:r>
      <w:r w:rsidDel="00000000" w:rsidR="00000000" w:rsidRPr="00000000">
        <w:rPr>
          <w:rtl w:val="0"/>
        </w:rPr>
        <w:t xml:space="preserve">rušící</w:t>
      </w:r>
      <w:r w:rsidDel="00000000" w:rsidR="00000000" w:rsidRPr="00000000">
        <w:rPr>
          <w:rtl w:val="0"/>
        </w:rPr>
        <w:t xml:space="preserve"> zprávy,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jeden MMC, jeden ADC a volitelně LRC popisující celou multimodální cestu. </w:t>
      </w:r>
    </w:p>
    <w:p w:rsidR="00000000" w:rsidDel="00000000" w:rsidP="00000000" w:rsidRDefault="00000000" w:rsidRPr="00000000" w14:paraId="00000036">
      <w:pPr>
        <w:spacing w:after="0" w:lineRule="auto"/>
        <w:ind w:left="0" w:hanging="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hanging="2"/>
        <w:rPr/>
      </w:pPr>
      <w:r w:rsidDel="00000000" w:rsidR="00000000" w:rsidRPr="00000000">
        <w:rPr>
          <w:rtl w:val="0"/>
        </w:rPr>
        <w:t xml:space="preserve">Dále aplikace RMC umožňuje využití ve 2 scénářích: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lineRule="auto"/>
        <w:ind w:left="770" w:hanging="360"/>
        <w:rPr>
          <w:u w:val="none"/>
        </w:rPr>
      </w:pPr>
      <w:r w:rsidDel="00000000" w:rsidR="00000000" w:rsidRPr="00000000">
        <w:rPr>
          <w:rtl w:val="0"/>
        </w:rPr>
        <w:t xml:space="preserve">vysílání typu “</w:t>
      </w:r>
      <w:r w:rsidDel="00000000" w:rsidR="00000000" w:rsidRPr="00000000">
        <w:rPr>
          <w:b w:val="1"/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”, kdy zprávu s trasou obdrží všechny terminály v dosahu. 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Rule="auto"/>
        <w:ind w:left="77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obousměrná P2P komunikace</w:t>
      </w:r>
      <w:r w:rsidDel="00000000" w:rsidR="00000000" w:rsidRPr="00000000">
        <w:rPr>
          <w:rtl w:val="0"/>
        </w:rPr>
        <w:t xml:space="preserve">, kdy může klientské zařízení zaslat obecný požadavek na trasu (stejné jako předchozí scénář) či kdy klientské zařízení zasílá specifický požadavek, ve kterém může určit řadu parametrů: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seznam tras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detailní informace o trase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vybrat (aktivovat) trasu, ke které bude dostávat aktualizace (od serveru)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0" w:lineRule="auto"/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vyžádat si aktualizaci trasy (dle aktuální polohy terminálu)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ind w:left="1490" w:hanging="360"/>
        <w:rPr>
          <w:u w:val="none"/>
        </w:rPr>
      </w:pPr>
      <w:r w:rsidDel="00000000" w:rsidR="00000000" w:rsidRPr="00000000">
        <w:rPr>
          <w:rtl w:val="0"/>
        </w:rPr>
        <w:t xml:space="preserve">zrušit RMC relaci</w:t>
      </w:r>
    </w:p>
    <w:p w:rsidR="00000000" w:rsidDel="00000000" w:rsidP="00000000" w:rsidRDefault="00000000" w:rsidRPr="00000000" w14:paraId="0000003F">
      <w:pPr>
        <w:ind w:left="0" w:hanging="2"/>
        <w:rPr/>
      </w:pPr>
      <w:r w:rsidDel="00000000" w:rsidR="00000000" w:rsidRPr="00000000">
        <w:rPr>
          <w:rtl w:val="0"/>
        </w:rPr>
        <w:t xml:space="preserve">Článek uvádí (obrázkem) typický průběh RMR relace.</w:t>
      </w:r>
    </w:p>
    <w:p w:rsidR="00000000" w:rsidDel="00000000" w:rsidP="00000000" w:rsidRDefault="00000000" w:rsidRPr="00000000" w14:paraId="00000040">
      <w:pPr>
        <w:pStyle w:val="Heading1"/>
        <w:ind w:left="0" w:hanging="2"/>
        <w:rPr/>
      </w:pPr>
      <w:bookmarkStart w:colFirst="0" w:colLast="0" w:name="_heading=h.zeeuw5iep7ap" w:id="21"/>
      <w:bookmarkEnd w:id="21"/>
      <w:r w:rsidDel="00000000" w:rsidR="00000000" w:rsidRPr="00000000">
        <w:rPr>
          <w:rtl w:val="0"/>
        </w:rPr>
        <w:t xml:space="preserve">7 Komponenty zprávy RMR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stran, tabulky) popisuje jednotlivé komponenty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pro odpověď (RMRMessage) i požada</w:t>
      </w:r>
      <w:r w:rsidDel="00000000" w:rsidR="00000000" w:rsidRPr="00000000">
        <w:rPr>
          <w:rtl w:val="0"/>
        </w:rPr>
        <w:t xml:space="preserve">vek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Stanovuje pro zprávu RMR její základní strukturu a detailně popisuje její jednotlivé součásti. Zejména trasu (Route), která je popsána vlastními metadaty (id, typ trasy, čas začátku a konce, typ přístupu, atp.) a jednotlivými částmi trasy (RouteSegment) opět se specifickými metadaty (čas, mód, vzdálenost, cena, číslo linky, provozovatel, atp.) polohou, popisem parkoviště na konci segmentu a detaily podle módu dopravy.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Detaily podle módu dopravy zahrnují informace k cestě veřejnou hromadnou dopravou (počáteční a koncová stanice, (bez)bariérovost) a k cestě pěšky (počáteční a koncový bod, typy cesty).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Parkoviště je popsáno metadaty zahrnujícími název, obsazenost, cenu, popis, čas na zaparkování a polohu. 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Další část článku stanovuje požadavek na trasu (RMRRequestMessage), který obsahuje požadavek na vygenerování seznamu tras (RMRListReqParams) podle zadaných parametrů (počátek a konec cesty, čas, typ cesty, počet a polohu zastávek, doplňkové požadavky atp.), požadavek na vrácení jedné trasy (RMRRouteReqParams) podle polohy či id trasy, požadavek na aktivaci trasy (RMRActivateRouteReqParams) a požadavek na zrušení relace (TerminateRMRSession).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Mezi možné doplňkové požadavky k trase patří: přístup pro vozíčkáře, pouze krátké pěší segmenty, typ cesty (krátká, rychlá …), parkoviště v místě určení, maximální počet přestupů, maximální délky tras podle dopravních módů atp.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specifikován, dokument doporučuje metodu GLR.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použitých datových struktur (typů).  Na obrázku níže (Obrázek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rtl w:val="0"/>
        </w:rPr>
        <w:t xml:space="preserve">PredefConnection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rdcrjn" w:id="22"/>
      <w:bookmarkEnd w:id="22"/>
      <w:r w:rsidDel="00000000" w:rsidR="00000000" w:rsidRPr="00000000">
        <w:rPr/>
        <w:drawing>
          <wp:inline distB="114300" distT="114300" distL="114300" distR="114300">
            <wp:extent cx="5760410" cy="1600200"/>
            <wp:effectExtent b="0" l="0" r="0" t="0"/>
            <wp:docPr id="104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3 - Ukázka části struktury PredefConnection (tabulka 18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4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26in1rg" w:id="23"/>
      <w:bookmarkEnd w:id="23"/>
      <w:r w:rsidDel="00000000" w:rsidR="00000000" w:rsidRPr="00000000">
        <w:rPr>
          <w:color w:val="000000"/>
          <w:sz w:val="18"/>
          <w:szCs w:val="18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0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Struktura </w:t>
            </w:r>
            <w:r w:rsidDel="00000000" w:rsidR="00000000" w:rsidRPr="00000000">
              <w:rPr>
                <w:b w:val="1"/>
                <w:rtl w:val="0"/>
              </w:rPr>
              <w:t xml:space="preserve">RMR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EnergyConsumption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informace o spotřebované energii na daný segment trasy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Operator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kontakt na provozovatele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PredefConnection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požadované konkrétní spojení v rámci trasy, (objednaný let …)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WGS84Coordinate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zeměpisná poloha (lat, lon)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MessageLink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odkaz na zprávu obsahující více detailů o trase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4"/>
      <w:bookmarkEnd w:id="24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5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5"/>
      <w:bookmarkEnd w:id="25"/>
      <w:r w:rsidDel="00000000" w:rsidR="00000000" w:rsidRPr="00000000">
        <w:rPr>
          <w:sz w:val="18"/>
          <w:szCs w:val="18"/>
          <w:rtl w:val="0"/>
        </w:rPr>
        <w:t xml:space="preserve">Tabulka 2 - Seznam tabulek RMR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</w:t>
            </w:r>
            <w:r w:rsidDel="00000000" w:rsidR="00000000" w:rsidRPr="00000000">
              <w:rPr>
                <w:b w:val="1"/>
                <w:rtl w:val="0"/>
              </w:rPr>
              <w:t xml:space="preserve">RMR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rmr001:RouteType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různých typů </w:t>
            </w:r>
            <w:r w:rsidDel="00000000" w:rsidR="00000000" w:rsidRPr="00000000">
              <w:rPr>
                <w:rtl w:val="0"/>
              </w:rPr>
              <w:t xml:space="preserve">tras</w:t>
            </w:r>
            <w:r w:rsidDel="00000000" w:rsidR="00000000" w:rsidRPr="00000000">
              <w:rPr>
                <w:color w:val="000000"/>
                <w:rtl w:val="0"/>
              </w:rPr>
              <w:t xml:space="preserve">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př.:001:roadRoute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rmr002:ModeType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módů</w:t>
            </w:r>
            <w:r w:rsidDel="00000000" w:rsidR="00000000" w:rsidRPr="00000000">
              <w:rPr>
                <w:rtl w:val="0"/>
              </w:rPr>
              <w:t xml:space="preserve">, dopr. prostředků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 </w:t>
            </w:r>
            <w:r w:rsidDel="00000000" w:rsidR="00000000" w:rsidRPr="00000000">
              <w:rPr>
                <w:rtl w:val="0"/>
              </w:rPr>
              <w:t xml:space="preserve">pedestrian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rmr003:ParkType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typů parkovišť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 ParkAndRide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rmr005:RouteObjectives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typů </w:t>
            </w:r>
            <w:r w:rsidDel="00000000" w:rsidR="00000000" w:rsidRPr="00000000">
              <w:rPr>
                <w:rtl w:val="0"/>
              </w:rPr>
              <w:t xml:space="preserve">trasy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color w:val="00000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  <w:t xml:space="preserve">fastest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rmr006:RouteCause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důvodů poskytnutí trasy serverem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003: </w:t>
            </w:r>
            <w:r w:rsidDel="00000000" w:rsidR="00000000" w:rsidRPr="00000000">
              <w:rPr>
                <w:rtl w:val="0"/>
              </w:rPr>
              <w:t xml:space="preserve">roadClosure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rmr007:AccessType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rtl w:val="0"/>
              </w:rPr>
              <w:t xml:space="preserve">typů bariér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</w:t>
            </w:r>
            <w:r w:rsidDel="00000000" w:rsidR="00000000" w:rsidRPr="00000000">
              <w:rPr>
                <w:rtl w:val="0"/>
              </w:rPr>
              <w:t xml:space="preserve">escalator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rmr008:OccTendency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tendence zaplňování parkoviště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Př.: 002:</w:t>
            </w:r>
            <w:r w:rsidDel="00000000" w:rsidR="00000000" w:rsidRPr="00000000">
              <w:rPr>
                <w:rtl w:val="0"/>
              </w:rPr>
              <w:t xml:space="preserve">increasing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rmr009:EnergyType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rtl w:val="0"/>
              </w:rPr>
              <w:t xml:space="preserve">typů energií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Př: 005:</w:t>
            </w:r>
            <w:r w:rsidDel="00000000" w:rsidR="00000000" w:rsidRPr="00000000">
              <w:rPr>
                <w:rtl w:val="0"/>
              </w:rPr>
              <w:t xml:space="preserve">H2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rmr099:ErrorCode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chybová zpráva (1=výčet obsahuje jednu položku)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001: invalid location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rmr002:ModeType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7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6"/>
      <w:bookmarkEnd w:id="26"/>
      <w:r w:rsidDel="00000000" w:rsidR="00000000" w:rsidRPr="00000000">
        <w:rPr>
          <w:color w:val="000000"/>
          <w:sz w:val="18"/>
          <w:szCs w:val="18"/>
          <w:rtl w:val="0"/>
        </w:rPr>
        <w:t xml:space="preserve">Tabulka 3 -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rmr002:ModeType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22 normy)</w:t>
      </w:r>
    </w:p>
    <w:tbl>
      <w:tblPr>
        <w:tblStyle w:val="Table4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auto</w:t>
            </w:r>
            <w:r w:rsidDel="00000000" w:rsidR="00000000" w:rsidRPr="00000000">
              <w:rPr>
                <w:color w:val="000000"/>
                <w:rtl w:val="0"/>
              </w:rPr>
              <w:t xml:space="preserve"> (car)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autem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chodec</w:t>
            </w:r>
            <w:r w:rsidDel="00000000" w:rsidR="00000000" w:rsidRPr="00000000">
              <w:rPr>
                <w:color w:val="000000"/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 pedestrian</w:t>
            </w:r>
            <w:r w:rsidDel="00000000" w:rsidR="00000000" w:rsidRPr="00000000">
              <w:rPr>
                <w:color w:val="000000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pěšky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00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autobus </w:t>
            </w:r>
            <w:r w:rsidDel="00000000" w:rsidR="00000000" w:rsidRPr="00000000">
              <w:rPr>
                <w:color w:val="000000"/>
                <w:rtl w:val="0"/>
              </w:rPr>
              <w:t xml:space="preserve">(bus)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segment popisuje cestu autobusem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7"/>
      <w:bookmarkEnd w:id="2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8"/>
      <w:bookmarkEnd w:id="28"/>
      <w:r w:rsidDel="00000000" w:rsidR="00000000" w:rsidRPr="00000000">
        <w:rPr>
          <w:color w:val="000000"/>
          <w:rtl w:val="0"/>
        </w:rPr>
        <w:t xml:space="preserve">Tato příloha (rozsah 16 stran) stanovuje binární reprezentaci aplikace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9"/>
      <w:bookmarkEnd w:id="29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8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0"/>
      <w:bookmarkEnd w:id="30"/>
      <w:r w:rsidDel="00000000" w:rsidR="00000000" w:rsidRPr="00000000">
        <w:rPr>
          <w:sz w:val="18"/>
          <w:szCs w:val="18"/>
          <w:rtl w:val="0"/>
        </w:rPr>
        <w:t xml:space="preserve">Tabulka 4 -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PTTravelDetails (článek A.1.10 normy)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40"/>
        <w:gridCol w:w="5745"/>
        <w:tblGridChange w:id="0">
          <w:tblGrid>
            <w:gridCol w:w="3540"/>
            <w:gridCol w:w="57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&lt;PTTravelDetails(11)&lt;SegmentDetails(11)&gt;&gt;:=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IntUnTi</w:t>
            </w:r>
            <w:r w:rsidDel="00000000" w:rsidR="00000000" w:rsidRPr="00000000">
              <w:rPr>
                <w:color w:val="000000"/>
                <w:rtl w:val="0"/>
              </w:rPr>
              <w:t xml:space="preserve">&gt;(11),</w:t>
            </w:r>
          </w:p>
        </w:tc>
        <w:tc>
          <w:tcPr/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IntUnLoMB</w:t>
            </w:r>
            <w:r w:rsidDel="00000000" w:rsidR="00000000" w:rsidRPr="00000000">
              <w:rPr>
                <w:color w:val="000000"/>
                <w:rtl w:val="0"/>
              </w:rPr>
              <w:t xml:space="preserve">&gt;(lengthComp),</w:t>
            </w:r>
          </w:p>
        </w:tc>
        <w:tc>
          <w:tcPr/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IntUnLoMB</w:t>
            </w:r>
            <w:r w:rsidDel="00000000" w:rsidR="00000000" w:rsidRPr="00000000">
              <w:rPr>
                <w:color w:val="000000"/>
                <w:rtl w:val="0"/>
              </w:rPr>
              <w:t xml:space="preserve">&gt;(lengthAttr),</w:t>
            </w:r>
          </w:p>
        </w:tc>
        <w:tc>
          <w:tcPr/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BitArray(selector),</w:t>
            </w:r>
          </w:p>
        </w:tc>
        <w:tc>
          <w:tcPr/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0 of selector is set)</w:t>
            </w:r>
          </w:p>
        </w:tc>
        <w:tc>
          <w:tcPr/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&lt;LocalisedShortString&gt;</w:t>
            </w:r>
            <w:r w:rsidDel="00000000" w:rsidR="00000000" w:rsidRPr="00000000">
              <w:rPr>
                <w:rtl w:val="0"/>
              </w:rPr>
              <w:t xml:space="preserve">(originStation)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název počáteční zastávky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1 of selector is set)</w:t>
            </w:r>
          </w:p>
        </w:tc>
        <w:tc>
          <w:tcPr/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</w:t>
            </w:r>
            <w:r w:rsidDel="00000000" w:rsidR="00000000" w:rsidRPr="00000000">
              <w:rPr>
                <w:b w:val="1"/>
                <w:rtl w:val="0"/>
              </w:rPr>
              <w:t xml:space="preserve">LocalisedShortString</w:t>
            </w:r>
            <w:r w:rsidDel="00000000" w:rsidR="00000000" w:rsidRPr="00000000">
              <w:rPr>
                <w:rtl w:val="0"/>
              </w:rPr>
              <w:t xml:space="preserve">&gt;(destinationStation),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název koncové zastávky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if (bit 2 of selector is set)</w:t>
            </w:r>
          </w:p>
        </w:tc>
        <w:tc>
          <w:tcPr/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&lt;rmr007:AccessType&gt;(accessType);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Typ přístupu (např. rampa, schody, výtah atd.); důležité zejména pro osoby s omezenou pohyblivostí.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RMR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RMR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 name="SegmentLocation"&gt; </w:t>
            </w:r>
          </w:p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&lt;xs:sequence&gt; </w:t>
            </w:r>
          </w:p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name="streetName" type="tdt:LocalisedShortString" minOccurs="0"/&gt; </w:t>
            </w:r>
          </w:p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name="heading" type="tdt:IntUnTi" minOccurs="0"/&gt; </w:t>
            </w:r>
          </w:p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&lt;xs:element name="locRef" type="lrc:LocationReferencingContainer" minOccurs="0"/&gt; </w:t>
            </w:r>
          </w:p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 &lt;/xs:sequence&gt; </w:t>
            </w:r>
          </w:p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</w:t>
            </w:r>
          </w:p>
        </w:tc>
      </w:tr>
    </w:tbl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4 -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SegmentLocation (článek B.1.5 normy)</w:t>
      </w:r>
      <w:r w:rsidDel="00000000" w:rsidR="00000000" w:rsidRPr="00000000">
        <w:rPr>
          <w:rtl w:val="0"/>
        </w:rPr>
      </w:r>
    </w:p>
    <w:sectPr>
      <w:footerReference r:id="rId14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pos="7080"/>
        <w:tab w:val="right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pPr>
      <w:ind w:left="-1" w:leftChars="-1" w:hanging="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" w:customStyle="1">
    <w:name w:val="Podnadpis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titul">
    <w:name w:val="Subtitle"/>
    <w:basedOn w:val="Normln"/>
    <w:next w:val="Normln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phytZgruX5VJQTf3MFuTTTYqCQ==">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