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26: Informace o místech vyžadujících zvýšenou pozornost (TPEG2-VLI)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2018, 23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P ISO/TS 21219-26 (vydána 2019-06)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26 normy TPEG „Informace o místech vyžadujících zvýšenou pozornost (TPEG2-VLI)“, která specifikuje informační strukturu pro informování řidiče o místech kde má věnovat zvýšenou pozornost.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8kdf5wup1at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místech, kde je potřeba zvýšená pozornost řidiče.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ind w:left="0" w:hanging="2"/>
        <w:rPr/>
      </w:pPr>
      <w:r w:rsidDel="00000000" w:rsidR="00000000" w:rsidRPr="00000000">
        <w:rPr>
          <w:rtl w:val="0"/>
        </w:rPr>
        <w:t xml:space="preserve">Tato technická specifikace je zaměřená na informování řidičů o úsecích pozemní komunikace, kde je zapotřebí jejich zvýšené pozornosti. Tyto úseky mohou být místa se zvýšenou nehodovostí, ale také místa s přítomností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dohledových systémů</w:t>
      </w:r>
      <w:r w:rsidDel="00000000" w:rsidR="00000000" w:rsidRPr="00000000">
        <w:rPr>
          <w:rtl w:val="0"/>
        </w:rPr>
        <w:t xml:space="preserve">. Při uplatňování / používání této normy je nutné dbát zvýšenou pozornost na národní legislativu tak, aby nedocházelo k jejímu porušení.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exlj16mcv1lp" w:id="8"/>
      <w:bookmarkEnd w:id="8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9"/>
      <w:bookmarkEnd w:id="9"/>
      <w:r w:rsidDel="00000000" w:rsidR="00000000" w:rsidRPr="00000000">
        <w:rPr>
          <w:color w:val="000000"/>
          <w:rtl w:val="0"/>
        </w:rPr>
        <w:t xml:space="preserve">Tato kapitola definuje 8 termínů, m.j. </w:t>
      </w:r>
    </w:p>
    <w:p w:rsidR="00000000" w:rsidDel="00000000" w:rsidP="00000000" w:rsidRDefault="00000000" w:rsidRPr="00000000" w14:paraId="00000017">
      <w:pPr>
        <w:ind w:left="-2" w:firstLine="0"/>
        <w:rPr/>
      </w:pPr>
      <w:r w:rsidDel="00000000" w:rsidR="00000000" w:rsidRPr="00000000">
        <w:rPr>
          <w:b w:val="1"/>
          <w:rtl w:val="0"/>
        </w:rPr>
        <w:t xml:space="preserve">Informace o zvýšené pozornosti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Vigilance information</w:t>
      </w:r>
      <w:r w:rsidDel="00000000" w:rsidR="00000000" w:rsidRPr="00000000">
        <w:rPr>
          <w:rtl w:val="0"/>
        </w:rPr>
        <w:t xml:space="preserve">) informace, kterým má řidič věnovat zvýšenou pozornost</w:t>
      </w:r>
    </w:p>
    <w:p w:rsidR="00000000" w:rsidDel="00000000" w:rsidP="00000000" w:rsidRDefault="00000000" w:rsidRPr="00000000" w14:paraId="00000018">
      <w:pPr>
        <w:ind w:left="-2" w:firstLine="0"/>
        <w:rPr/>
      </w:pPr>
      <w:r w:rsidDel="00000000" w:rsidR="00000000" w:rsidRPr="00000000">
        <w:rPr>
          <w:b w:val="1"/>
          <w:rtl w:val="0"/>
        </w:rPr>
        <w:t xml:space="preserve">Úroveň důvěryhodnosti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rtl w:val="0"/>
        </w:rPr>
        <w:t xml:space="preserve">Confidence Level</w:t>
      </w:r>
      <w:r w:rsidDel="00000000" w:rsidR="00000000" w:rsidRPr="00000000">
        <w:rPr>
          <w:rtl w:val="0"/>
        </w:rPr>
        <w:t xml:space="preserve">) nepovinný údaj o správnosti a přesnosti atributů informací o zvýšené pozornosti.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9">
      <w:pPr>
        <w:pStyle w:val="Heading1"/>
        <w:ind w:left="0" w:hanging="2"/>
        <w:rPr/>
      </w:pPr>
      <w:bookmarkStart w:colFirst="0" w:colLast="0" w:name="_heading=h.k2373fclpmbw" w:id="10"/>
      <w:bookmarkEnd w:id="10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12 zkratek, důležité z pohledu tohoto extraktu jsou: 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0">
      <w:pPr>
        <w:pStyle w:val="Heading1"/>
        <w:ind w:left="0" w:hanging="2"/>
        <w:rPr/>
      </w:pPr>
      <w:bookmarkStart w:colFirst="0" w:colLast="0" w:name="_heading=h.qfqfpgofc94p" w:id="11"/>
      <w:bookmarkEnd w:id="11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2"/>
      <w:bookmarkEnd w:id="12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pro popis aplikace (ADC) a kontejneru pro odkazování na polohu (LRC). 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7">
      <w:pPr>
        <w:pStyle w:val="Heading1"/>
        <w:ind w:left="0" w:hanging="2"/>
        <w:rPr/>
      </w:pPr>
      <w:bookmarkStart w:colFirst="0" w:colLast="0" w:name="_heading=h.70y3xb1dvgqi" w:id="13"/>
      <w:bookmarkEnd w:id="13"/>
      <w:r w:rsidDel="00000000" w:rsidR="00000000" w:rsidRPr="00000000">
        <w:rPr>
          <w:rtl w:val="0"/>
        </w:rPr>
        <w:t xml:space="preserve">6 Struktura VLI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d34og8" w:id="14"/>
      <w:bookmarkEnd w:id="14"/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VLI.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5574665"/>
            <wp:effectExtent b="0" l="0" r="0" t="0"/>
            <wp:docPr id="10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VLI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B">
      <w:pPr>
        <w:pStyle w:val="Heading1"/>
        <w:ind w:left="0" w:hanging="2"/>
        <w:rPr/>
      </w:pPr>
      <w:bookmarkStart w:colFirst="0" w:colLast="0" w:name="_heading=h.zeeuw5iep7ap" w:id="15"/>
      <w:bookmarkEnd w:id="15"/>
      <w:r w:rsidDel="00000000" w:rsidR="00000000" w:rsidRPr="00000000">
        <w:rPr>
          <w:rtl w:val="0"/>
        </w:rPr>
        <w:t xml:space="preserve">7 Komponenty zprávy VLI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strany, 3 tabulky) popisuje jednotlivé komponenty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Stanovuje pro zprávu VLI její základní strukturu „VigilanceMessage“ která může obsahovat informaci o potřebě zvýšené pozornosti (VigilanceInformation) a informaci o poloze (LocationReferenceLink) ne nezbytně v jedné zprávě. 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7dp8vu" w:id="16"/>
      <w:bookmarkEnd w:id="16"/>
      <w:r w:rsidDel="00000000" w:rsidR="00000000" w:rsidRPr="00000000">
        <w:rPr>
          <w:rtl w:val="0"/>
        </w:rPr>
        <w:t xml:space="preserve">Struktura VigilanceInformation obsahuje informace o typu situace, času, důvěryhodnosti, rychlostním omezení (SpeedLimit) a volný text. Struktura SpeedLimit obsahuje informace o čase, typu rychlostního omezení, jízdním pruhu, typu vozidla a souvisejících povětrnostních podmínkách. 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  <w:sz w:val="18"/>
          <w:szCs w:val="18"/>
        </w:rPr>
      </w:pPr>
      <w:bookmarkStart w:colFirst="0" w:colLast="0" w:name="_heading=h.lnxbz9" w:id="17"/>
      <w:bookmarkEnd w:id="17"/>
      <w:r w:rsidDel="00000000" w:rsidR="00000000" w:rsidRPr="00000000">
        <w:rPr>
          <w:color w:val="000000"/>
          <w:rtl w:val="0"/>
        </w:rPr>
        <w:t xml:space="preserve">Tato kapitola (</w:t>
      </w:r>
      <w:r w:rsidDel="00000000" w:rsidR="00000000" w:rsidRPr="00000000">
        <w:rPr>
          <w:rtl w:val="0"/>
        </w:rPr>
        <w:t xml:space="preserve">rozsah 2 stran, 2 tabulky) obsahuje definice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stanovující výčet ovlivněných jízdních pruhů (laneX) a </w:t>
      </w:r>
      <w:r w:rsidDel="00000000" w:rsidR="00000000" w:rsidRPr="00000000">
        <w:rPr>
          <w:b w:val="1"/>
          <w:rtl w:val="0"/>
        </w:rPr>
        <w:t xml:space="preserve">SubdivisionCountryCode</w:t>
      </w:r>
      <w:r w:rsidDel="00000000" w:rsidR="00000000" w:rsidRPr="00000000">
        <w:rPr>
          <w:rtl w:val="0"/>
        </w:rPr>
        <w:t xml:space="preserve"> stanovující kód země a státu, např. pro USA stát Massachusetts US 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iykewot5vw7m" w:id="18"/>
      <w:bookmarkEnd w:id="1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tabulek VLI (výčtů hodnot) (zdroj: autor extraktu)</w:t>
      </w:r>
    </w:p>
    <w:tbl>
      <w:tblPr>
        <w:tblStyle w:val="Table2"/>
        <w:tblW w:w="9196.0" w:type="dxa"/>
        <w:jc w:val="left"/>
        <w:tblInd w:w="-5.0" w:type="dxa"/>
        <w:tblLayout w:type="fixed"/>
        <w:tblLook w:val="0000"/>
      </w:tblPr>
      <w:tblGrid>
        <w:gridCol w:w="2655"/>
        <w:gridCol w:w="3157"/>
        <w:gridCol w:w="3384"/>
        <w:tblGridChange w:id="0">
          <w:tblGrid>
            <w:gridCol w:w="2655"/>
            <w:gridCol w:w="3157"/>
            <w:gridCol w:w="33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VLI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vli001:VigilanceType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zvýšené pozornosti  (0-31)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19"/>
            <w:bookmarkEnd w:id="19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013: congestion charge camera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vli002:ConfidenceLevel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Úroveň důvěryhodnosti (0-3)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vozidla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caravan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vli004:WeatherCondition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Povětrnostní podmínky platnosti rychlostního omezení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high winds</w:t>
            </w:r>
          </w:p>
        </w:tc>
      </w:tr>
    </w:tbl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</w:t>
      </w:r>
      <w:r w:rsidDel="00000000" w:rsidR="00000000" w:rsidRPr="00000000">
        <w:rPr>
          <w:rtl w:val="0"/>
        </w:rPr>
        <w:t xml:space="preserve">obsahuje ukázku tabulky „vli001:VigilanceType” z popisovaného</w:t>
      </w:r>
      <w:r w:rsidDel="00000000" w:rsidR="00000000" w:rsidRPr="00000000">
        <w:rPr>
          <w:color w:val="000000"/>
          <w:rtl w:val="0"/>
        </w:rPr>
        <w:t xml:space="preserve"> dokumentu.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2 -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vli001:VigilanceType (tabulka 7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715"/>
        <w:gridCol w:w="3118"/>
        <w:gridCol w:w="5211"/>
        <w:tblGridChange w:id="0">
          <w:tblGrid>
            <w:gridCol w:w="715"/>
            <w:gridCol w:w="3118"/>
            <w:gridCol w:w="521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pevná rychlostní kamera (fixed speed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překročení povolené rychlosti.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rychlostní kamera s detekcí průjezdu na červenou (red light speed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průjezdu na červenou nebo při překročení povolené rychlosti.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s detekcí průjezdu na červenou (red light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průjezdu na červenou.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mobilní rychlostní kamera (mobile speed camera)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dočasném místě, která se aktivuje při překročení povolené rychlosti.</w:t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1"/>
      <w:bookmarkEnd w:id="2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2"/>
      <w:bookmarkEnd w:id="22"/>
      <w:r w:rsidDel="00000000" w:rsidR="00000000" w:rsidRPr="00000000">
        <w:rPr>
          <w:color w:val="000000"/>
          <w:rtl w:val="0"/>
        </w:rPr>
        <w:t xml:space="preserve">Tato příloha (rozsah 5 stran) stanovuje binární reprezentaci aplikace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3"/>
      <w:bookmarkEnd w:id="23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VigilanceMessage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24"/>
      <w:bookmarkEnd w:id="24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VigilanceMessage </w:t>
      </w:r>
      <w:r w:rsidDel="00000000" w:rsidR="00000000" w:rsidRPr="00000000">
        <w:rPr>
          <w:sz w:val="18"/>
          <w:szCs w:val="18"/>
          <w:rtl w:val="0"/>
        </w:rPr>
        <w:t xml:space="preserve">(článek A.2.4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57"/>
        <w:gridCol w:w="4328"/>
        <w:tblGridChange w:id="0">
          <w:tblGrid>
            <w:gridCol w:w="4957"/>
            <w:gridCol w:w="43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&lt;VigilanceMessage(0)&gt;:=</w:t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&lt;IntUnTi&gt;(0),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Id této komponenty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komponentě, kromě indikátorů id a lengthComp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&lt;MMCSwitch&gt;(mmt),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n * &lt;VigilanceInformation&gt;(vigilanceInformation)[0..1],</w:t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popis informace s omezením rychlosti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n * &lt;LocationReferenceLink&gt;(loc)[0..1]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kontejner pro odkazování na polohu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 name="SpeedLimit"&gt; </w:t>
            </w:r>
          </w:p>
          <w:p w:rsidR="00000000" w:rsidDel="00000000" w:rsidP="00000000" w:rsidRDefault="00000000" w:rsidRPr="00000000" w14:paraId="0000007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&lt;xs:sequence&gt; </w:t>
            </w:r>
          </w:p>
          <w:p w:rsidR="00000000" w:rsidDel="00000000" w:rsidP="00000000" w:rsidRDefault="00000000" w:rsidRPr="00000000" w14:paraId="0000007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name="variableSpeedLimit" type="tdt:Boolean"/&gt; </w:t>
            </w:r>
          </w:p>
          <w:p w:rsidR="00000000" w:rsidDel="00000000" w:rsidP="00000000" w:rsidRDefault="00000000" w:rsidRPr="00000000" w14:paraId="0000007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name="speedLimitInMilesPerHours" type="tdt:Boolean"/&gt; </w:t>
            </w:r>
          </w:p>
          <w:p w:rsidR="00000000" w:rsidDel="00000000" w:rsidP="00000000" w:rsidRDefault="00000000" w:rsidRPr="00000000" w14:paraId="0000007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name="speedLimit" type="tdt:IntUnTi" minOccurs="0"/&gt; </w:t>
            </w:r>
          </w:p>
          <w:p w:rsidR="00000000" w:rsidDel="00000000" w:rsidP="00000000" w:rsidRDefault="00000000" w:rsidRPr="00000000" w14:paraId="0000007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name="timeInterval" type="tdt:TimeToolkit" minOccurs="0"/&gt; </w:t>
            </w:r>
          </w:p>
          <w:p w:rsidR="00000000" w:rsidDel="00000000" w:rsidP="00000000" w:rsidRDefault="00000000" w:rsidRPr="00000000" w14:paraId="0000007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name="laneNumber" type="LaneNumber" minOccurs="0"/&gt; </w:t>
            </w:r>
          </w:p>
          <w:p w:rsidR="00000000" w:rsidDel="00000000" w:rsidP="00000000" w:rsidRDefault="00000000" w:rsidRPr="00000000" w14:paraId="0000007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name="vehicleType" type="vli003_VehicleType" minOccurs="0"/&gt; </w:t>
            </w:r>
          </w:p>
          <w:p w:rsidR="00000000" w:rsidDel="00000000" w:rsidP="00000000" w:rsidRDefault="00000000" w:rsidRPr="00000000" w14:paraId="0000007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name="weatherCondition" type="vli004_WeatherCondition" minOccurs="0"/&gt;</w:t>
            </w:r>
          </w:p>
          <w:p w:rsidR="00000000" w:rsidDel="00000000" w:rsidP="00000000" w:rsidRDefault="00000000" w:rsidRPr="00000000" w14:paraId="0000007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&lt;/xs:sequence&gt; </w:t>
            </w:r>
          </w:p>
          <w:p w:rsidR="00000000" w:rsidDel="00000000" w:rsidP="00000000" w:rsidRDefault="00000000" w:rsidRPr="00000000" w14:paraId="0000007C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 </w:t>
            </w:r>
          </w:p>
        </w:tc>
      </w:tr>
    </w:tbl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2 -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SpeedLimit (článek B.2.4 normy)</w:t>
      </w:r>
      <w:r w:rsidDel="00000000" w:rsidR="00000000" w:rsidRPr="00000000">
        <w:rPr>
          <w:rtl w:val="0"/>
        </w:rPr>
      </w:r>
    </w:p>
    <w:sectPr>
      <w:footerReference r:id="rId10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NrOKcg9YF3kfTrdQI7h43Sdns7A==">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