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pBdr/>
        <w:tabs>
          <w:tab w:val="left" w:pos="7080"/>
        </w:tabs>
        <w:spacing w:after="60" w:before="0" w:line="240" w:lineRule="auto"/>
        <w:contextualSpacing w:val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EXTRAKT z mezinárodní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6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Extrakt nenahrazuje samotnou technickou normu, je pouze informativním materiálem o normě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pBdr/>
        <w:tabs>
          <w:tab w:val="left" w:pos="7371"/>
          <w:tab w:val="right" w:pos="9923"/>
        </w:tabs>
        <w:spacing w:after="6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6"/>
          <w:szCs w:val="16"/>
          <w:vertAlign w:val="baseline"/>
          <w:rtl w:val="0"/>
        </w:rPr>
        <w:t xml:space="preserve">ICS 35.240.60; 03.220.20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923.0" w:type="dxa"/>
        <w:jc w:val="left"/>
        <w:tblBorders>
          <w:top w:color="000000" w:space="0" w:sz="12" w:val="single"/>
          <w:bottom w:color="000000" w:space="0" w:sz="12" w:val="single"/>
        </w:tblBorders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trHeight w:val="1700" w:hRule="atLeast"/>
        </w:trPr>
        <w:tc>
          <w:tcPr/>
          <w:p w:rsidR="00000000" w:rsidDel="00000000" w:rsidP="00000000" w:rsidRDefault="00000000" w:rsidRPr="00000000">
            <w:pPr>
              <w:widowControl w:val="0"/>
              <w:pBdr/>
              <w:spacing w:after="0" w:before="640" w:line="240" w:lineRule="auto"/>
              <w:ind w:right="567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vertAlign w:val="baseline"/>
                <w:rtl w:val="0"/>
              </w:rPr>
              <w:t xml:space="preserve">Elektronický výběr poplatků (EFC)– </w:t>
              <w:br w:type="textWrapping"/>
              <w:t xml:space="preserve">Posouzení shody zařízení ISO/TS 17575-4 – </w:t>
              <w:br w:type="textWrapping"/>
              <w:t xml:space="preserve">Část 2: Abstraktní sestava zkoušek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pBdr/>
              <w:spacing w:after="0" w:before="1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ČSN</w:t>
              <w:br w:type="textWrapping"/>
              <w:t xml:space="preserve">ISO/TS 16403-2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/>
              <w:spacing w:after="80" w:before="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sz w:val="28"/>
                <w:szCs w:val="28"/>
                <w:vertAlign w:val="baseline"/>
                <w:rtl w:val="0"/>
              </w:rPr>
              <w:t xml:space="preserve">01 8385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keepLines w:val="1"/>
        <w:pBdr/>
        <w:tabs>
          <w:tab w:val="center" w:pos="0"/>
          <w:tab w:val="center" w:pos="7938"/>
        </w:tabs>
        <w:spacing w:after="360" w:before="24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vertAlign w:val="baseline"/>
          <w:rtl w:val="0"/>
        </w:rPr>
        <w:tab/>
        <w:t xml:space="preserve">18 stran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Úvod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vertAlign w:val="baseline"/>
          <w:rtl w:val="0"/>
        </w:rPr>
        <w:t xml:space="preserve">Tato technická specifikace </w:t>
      </w:r>
      <w:r w:rsidDel="00000000" w:rsidR="00000000" w:rsidRPr="00000000">
        <w:rPr>
          <w:b w:val="1"/>
          <w:vertAlign w:val="baseline"/>
          <w:rtl w:val="0"/>
        </w:rPr>
        <w:t xml:space="preserve">definuje procesy a </w:t>
      </w:r>
      <w:r w:rsidDel="00000000" w:rsidR="00000000" w:rsidRPr="00000000">
        <w:rPr>
          <w:b w:val="1"/>
          <w:vertAlign w:val="baseline"/>
          <w:rtl w:val="0"/>
        </w:rPr>
        <w:t xml:space="preserve">zkušební </w:t>
      </w:r>
      <w:r w:rsidDel="00000000" w:rsidR="00000000" w:rsidRPr="00000000">
        <w:rPr>
          <w:b w:val="1"/>
          <w:rtl w:val="0"/>
        </w:rPr>
        <w:t xml:space="preserve">testy</w:t>
      </w:r>
      <w:r w:rsidDel="00000000" w:rsidR="00000000" w:rsidRPr="00000000">
        <w:rPr>
          <w:b w:val="1"/>
          <w:vertAlign w:val="baseline"/>
          <w:rtl w:val="0"/>
        </w:rPr>
        <w:t xml:space="preserve"> pro kontrolu a </w:t>
      </w:r>
      <w:r w:rsidDel="00000000" w:rsidR="00000000" w:rsidRPr="00000000">
        <w:rPr>
          <w:b w:val="1"/>
          <w:vertAlign w:val="baseline"/>
          <w:rtl w:val="0"/>
        </w:rPr>
        <w:t xml:space="preserve">hodnocení shody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koncového zařízení </w:t>
      </w:r>
      <w:r w:rsidDel="00000000" w:rsidR="00000000" w:rsidRPr="00000000">
        <w:rPr>
          <w:b w:val="1"/>
          <w:rtl w:val="0"/>
        </w:rPr>
        <w:t xml:space="preserve">(tzv. front end)</w:t>
      </w:r>
      <w:r w:rsidDel="00000000" w:rsidR="00000000" w:rsidRPr="00000000">
        <w:rPr>
          <w:b w:val="1"/>
          <w:vertAlign w:val="baseline"/>
          <w:rtl w:val="0"/>
        </w:rPr>
        <w:t xml:space="preserve"> a centrálního systému </w:t>
      </w:r>
      <w:r w:rsidDel="00000000" w:rsidR="00000000" w:rsidRPr="00000000">
        <w:rPr>
          <w:b w:val="1"/>
          <w:rtl w:val="0"/>
        </w:rPr>
        <w:t xml:space="preserve">(tzv. back end)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b w:val="1"/>
          <w:vertAlign w:val="baseline"/>
          <w:rtl w:val="0"/>
        </w:rPr>
        <w:t xml:space="preserve">s normou ISO/TS 17575-4. </w:t>
      </w:r>
      <w:r w:rsidDel="00000000" w:rsidR="00000000" w:rsidRPr="00000000">
        <w:rPr>
          <w:vertAlign w:val="baseline"/>
          <w:rtl w:val="0"/>
        </w:rPr>
        <w:t xml:space="preserve">Norma 16403 se skládá z následujících částí: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Část 1: Struktura a účel sady zkoušek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Část 2: Abstraktní sestava zkoušek (tento extrakt se týká této části)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Ú</w:t>
      </w:r>
      <w:r w:rsidDel="00000000" w:rsidR="00000000" w:rsidRPr="00000000">
        <w:rPr>
          <w:vertAlign w:val="baseline"/>
          <w:rtl w:val="0"/>
        </w:rPr>
        <w:t xml:space="preserve">čelem normy 16403 je zejména následující: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Ohodnocení možností a chování koncového zařízení a centrálního systému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Návod pro kontrolu shody a schválení specifického typu 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Tato norma je určena zejména pro výrobce zařízení jichž se tato norma týká (koncové zařízení a centrální systém). Poskytuje nástroj k ověření shody těchto zařízení s odpovídající normou (t.j. ISO/TS 17575-4). Mimo výrobců zařízení může tato norma poskytnout užitečné informace také provozovatelům či subjektům pro výběr mýtného.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1 Předmět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Tato norma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definuje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principy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pro </w:t>
      </w:r>
      <w:r w:rsidDel="00000000" w:rsidR="00000000" w:rsidRPr="00000000">
        <w:rPr>
          <w:rtl w:val="0"/>
        </w:rPr>
        <w:t xml:space="preserve">posuzování shody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koncového zařízení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 centrálního systému v rámci systému elektronického mýta, založeném na použití autonomní OBE. Tyto </w:t>
      </w:r>
      <w:r w:rsidDel="00000000" w:rsidR="00000000" w:rsidRPr="00000000">
        <w:rPr>
          <w:rtl w:val="0"/>
        </w:rPr>
        <w:t xml:space="preserve">principy posuzování shody zajišťují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vzájemnou interoperabilitu různých zařízení pocházejících od různých výrobců.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norma obsahuje abstraktní sestavu zkoušek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(přímo odvozených od ISO/TS 16403-1) pro kontrolu shody zařízení (resp. parametrů zařízení) s normou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ISO/TS 17575-4.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tabs>
          <w:tab w:val="right" w:pos="9923"/>
        </w:tabs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r w:rsidDel="00000000" w:rsidR="00000000" w:rsidRPr="00000000">
        <w:rPr>
          <w:b w:val="1"/>
          <w:vertAlign w:val="baseline"/>
          <w:rtl w:val="0"/>
        </w:rPr>
        <w:t xml:space="preserve">2 Souvisící normy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  <w:t xml:space="preserve">ISO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/TS 16403-1:2012 zavedena v ČSN P CEN ISO/TS 16403-1:2012 (01 8385) Elektronický výběr poplatků (EFC) – Posouzení shody zařízení s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0"/>
          <w:vertAlign w:val="baseline"/>
          <w:rtl w:val="0"/>
        </w:rPr>
        <w:t xml:space="preserve">ISO/TS 17575-4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– Část 1: Struktura zkušební sestavy a cíle zkoušek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ISO/TS 17575-1:2010 zavedena v ČSN P CEN ISO/TS 17575-1:2010 (01 8385) Elektronický výběr poplatků (EFC) – Definice aplikačního rozhraní pro autonomní systémy – Část 1: Zpoplatňování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ISO/TS 17575-2:2010 zavedena v ČSN P CEN ISO/TS 17575-2:2011 (01 8385) Elektronický výběr poplatků (EFC) – Definice aplikačního rozhraní pro autonomní systémy – Část 2: Komunikace a propojení s nižšími vrstvami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ISO/TS 17575-3 zavedena v ČSN P CEN ISO/TS 17575-3 (01 8385) Elektronický výběr poplatků (EFC) – Definice aplikačního rozhraní pro autonomní systémy – Část 3: Kontextová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ISO/TS 17575-4 zavedena v ČSN P CEN ISO/TS 17575-4 (01 8385) Elektronický výběr poplatků (EFC) – Definice aplikačního rozhraní pro autonomní systémy – Část 4: Roaming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/>
        <w:spacing w:after="0" w:before="0" w:line="276" w:lineRule="auto"/>
        <w:ind w:left="0" w:right="0" w:firstLine="0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3 Termíny a definice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Kapitola obsahuje 7 termínů a definic, z nichž nejdůležitější jsou následující: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centrální systém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(back end)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BE – obecný název pro výpočetní a komunikační zařízení poskytovatele služby a/nebo výběrčího mýtného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zkoušení shody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(conformance testing)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– zkoušení rozsahu, do jakého je implementace IUT ve shodě se specifikací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koncové zařízení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(front end)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FE – část(i) systému mýtného, kde se data použití silniční infrastruktury jednotlivého uživatele sbírají, zpracovávají a zasílají do centrálního systému</w:t>
      </w:r>
    </w:p>
    <w:p w:rsidR="00000000" w:rsidDel="00000000" w:rsidP="00000000" w:rsidRDefault="00000000" w:rsidRPr="00000000">
      <w:pPr>
        <w:pBdr/>
        <w:spacing w:after="200" w:before="8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8"/>
          <w:szCs w:val="18"/>
          <w:vertAlign w:val="baseline"/>
          <w:rtl w:val="0"/>
        </w:rPr>
        <w:t xml:space="preserve">POZNÁMKA 1 Koncové zařízení se skládá z palubního zařízení a nepovinné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Další termíny a zkratky z oboru ITS jsou obsaženy ve slovníku ITS terminology.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sz w:val="24"/>
          <w:szCs w:val="24"/>
          <w:rtl w:val="0"/>
        </w:rPr>
        <w:t xml:space="preserve">4 Symboly a zkratky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Tato kapitola obsahuje 10 zkratek, z nichž nejdůležitější jsou následující: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ATM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metoda abstraktních zkoušek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(Abstract test method)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ATS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abstraktní sestava zkoušek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(Abstract test suite)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BE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centrální systém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(Back End)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FE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koncové zařízení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(Front End)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PCO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řídicí a pozorovací bod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(Point of control and observation)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PIXIT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dodatečné informace o zkoušení implementace protokolu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(Protocol Implementation Extra Information for Testing)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b/>
          <w:rFonts w:ascii="Arial" w:cs="Arial" w:eastAsia="Arial" w:hAnsi="Arial"/>
          <w:sz w:val="20"/>
          <w:szCs w:val="20"/>
          <w:vertAlign w:val="baseline"/>
          <w:rtl w:val="0"/>
        </w:rPr>
        <w:t xml:space="preserve">TP</w:t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ab/>
      </w: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cíl zkoušky </w:t>
      </w:r>
      <w:r>
        <w:rPr>
          <w:i/>
          <w:rFonts w:ascii="Arial" w:cs="Arial" w:eastAsia="Arial" w:hAnsi="Arial"/>
          <w:sz w:val="20"/>
          <w:szCs w:val="20"/>
          <w:vertAlign w:val="baseline"/>
          <w:rtl w:val="0"/>
        </w:rPr>
        <w:t xml:space="preserve">(Test purpose)</w:t>
      </w:r>
    </w:p>
    <w:p w:rsidR="00000000" w:rsidDel="00000000" w:rsidP="00000000" w:rsidRDefault="00000000" w:rsidRPr="00000000">
      <w:pPr>
        <w:pBdr/>
        <w:contextualSpacing w:val="0"/>
        <w:rPr/>
      </w:pPr>
      <w:r>
        <w:rPr>
          <w:vertAlign w:val="baseline"/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5 Abstraktní popis zkoušek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popisuje abstraktní metodu zkoušky, jež lze použít pro testy komunikačních vrstev na straně koncového zařízení a na straně centrálního systému. Mimo jiné prezentuje rovněž architekturu zkoušky, zahrnující osobu provádějící test, komunikační vrstvy a systém, jež je předmětem zkoušky.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6 Neproveditelné zkoušky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Žádné nejsou známy.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7 Datové typy abstraktní sestavy zkoušek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Tato kapitola obsahuje definice ASN.1 popisů datových struktur použitých v rámci abstraktních zkoušek (např. struktury popisující datový kontext).</w:t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8 Externí funkce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Funkce prezentované v této kapitole jsou externí funkce, definované pro inicializaci komunikace a jsou součástí obecného zdrojového kódu TTCN-3.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9 Filtrování zpráv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obsahuje popis mechanismu filtrování zpráv zaslaných mezi testerem a subjektem zkoušek (jaké zprávy jsou či nejsou ignorovány).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10 Konvence pro pojmenování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Tato kapitola popisuje konvence názvosloví pro TTCN-3 </w:t>
      </w:r>
      <w:r w:rsidDel="00000000" w:rsidR="00000000" w:rsidRPr="00000000">
        <w:rPr>
          <w:rtl w:val="0"/>
        </w:rPr>
        <w:t xml:space="preserve">prvky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ATS (např. moduly, konstanty, funkce, parametry atd.) Rovněž popisuje konvenci pro názvy jednotlivých testovacích případů (tzv. Test-case) a identifikátorů modulů TTCN-3.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Příloha A (informativní) Knihovna TTCN-3 modulů pro koncové zařízení a centrální systém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A </w:t>
      </w:r>
      <w:r w:rsidDel="00000000" w:rsidR="00000000" w:rsidRPr="00000000">
        <w:rPr>
          <w:rtl w:val="0"/>
        </w:rPr>
        <w:t xml:space="preserve">obsahuje odkaz na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elektronick</w:t>
      </w:r>
      <w:r w:rsidDel="00000000" w:rsidR="00000000" w:rsidRPr="00000000">
        <w:rPr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přílo</w:t>
      </w:r>
      <w:r w:rsidDel="00000000" w:rsidR="00000000" w:rsidRPr="00000000">
        <w:rPr>
          <w:rtl w:val="0"/>
        </w:rPr>
        <w:t xml:space="preserve">hu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A.1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archiv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, obsahující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zdrojové (ASN.1 a TTCN-3) kódy testů obsahující: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definice ASN.1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spacing w:after="12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becné TTCN-3 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a specifické (týkající se roamingu) zdrojové kódy TTCN-3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A dále </w:t>
      </w:r>
      <w:r w:rsidDel="00000000" w:rsidR="00000000" w:rsidRPr="00000000">
        <w:rPr>
          <w:rtl w:val="0"/>
        </w:rPr>
        <w:t xml:space="preserve">obsahuje odkaz na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 elektronick</w:t>
      </w:r>
      <w:r w:rsidDel="00000000" w:rsidR="00000000" w:rsidRPr="00000000">
        <w:rPr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přílo</w:t>
      </w:r>
      <w:r w:rsidDel="00000000" w:rsidR="00000000" w:rsidRPr="00000000">
        <w:rPr>
          <w:rtl w:val="0"/>
        </w:rPr>
        <w:t xml:space="preserve">hu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A.2, </w:t>
      </w:r>
      <w:r w:rsidDel="00000000" w:rsidR="00000000" w:rsidRPr="00000000">
        <w:rPr>
          <w:rtl w:val="0"/>
        </w:rPr>
        <w:t xml:space="preserve">(archiv),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 obsahující dokumentaci ve formátu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pBdr/>
        <w:spacing w:after="180" w:before="0" w:line="240" w:lineRule="auto"/>
        <w:contextualSpacing w:val="0"/>
        <w:jc w:val="left"/>
        <w:rPr/>
      </w:pPr>
      <w:r>
        <w:rPr>
          <w:b/>
          <w:rFonts w:ascii="Arial" w:cs="Arial" w:eastAsia="Arial" w:hAnsi="Arial"/>
          <w:sz w:val="24"/>
          <w:szCs w:val="24"/>
          <w:vertAlign w:val="baseline"/>
          <w:rtl w:val="0"/>
        </w:rPr>
        <w:t xml:space="preserve">Příloha B (informativní) Proforma formulář PIXIT pro koncové zařízení a centrální systém</w:t>
      </w:r>
    </w:p>
    <w:p w:rsidR="00000000" w:rsidDel="00000000" w:rsidP="00000000" w:rsidRDefault="00000000" w:rsidRPr="00000000">
      <w:pPr>
        <w:pBdr/>
        <w:spacing w:after="12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20"/>
          <w:szCs w:val="20"/>
          <w:vertAlign w:val="baseline"/>
          <w:rtl w:val="0"/>
        </w:rPr>
        <w:t xml:space="preserve">Příloha B obsahuje tabulky pro dodatečné informace o zkoušení implementace protokolu (např. souhrn ATS, zkušební laboratoř, identifikace klienta, informace o protokolové vrstvě atd.).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/>
      <w:pgMar w:bottom="1134" w:top="1134" w:left="1021" w:right="964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after="120" w:before="0" w:line="240" w:lineRule="auto"/>
      <w:ind w:right="360" w:firstLine="360"/>
      <w:contextualSpacing w:val="0"/>
      <w:jc w:val="center"/>
      <w:rPr/>
    </w:pPr>
    <w:r w:rsidDel="00000000" w:rsidR="00000000" w:rsidRPr="00000000">
      <w:rPr>
        <w:rFonts w:ascii="Arial" w:cs="Arial" w:eastAsia="Arial" w:hAnsi="Arial"/>
        <w:b w:val="0"/>
        <w:sz w:val="18"/>
        <w:szCs w:val="18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spacing w:after="120" w:before="0" w:line="240" w:lineRule="auto"/>
      <w:contextualSpacing w:val="0"/>
      <w:jc w:val="right"/>
      <w:rPr/>
    </w:pPr>
    <w:r w:rsidDel="00000000" w:rsidR="00000000" w:rsidRPr="00000000">
      <w:rPr>
        <w:rFonts w:ascii="Arial" w:cs="Arial" w:eastAsia="Arial" w:hAnsi="Arial"/>
        <w:b w:val="0"/>
        <w:sz w:val="18"/>
        <w:szCs w:val="18"/>
        <w:vertAlign w:val="baseline"/>
        <w:rtl w:val="0"/>
      </w:rPr>
      <w:t xml:space="preserve">ČSN EN 16403-2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6"/>
      <w:numFmt w:val="bullet"/>
      <w:lvlText w:val="-"/>
      <w:lvlJc w:val="left"/>
      <w:pPr>
        <w:ind w:left="720" w:firstLine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80" w:before="240" w:line="240" w:lineRule="auto"/>
      <w:jc w:val="left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120" w:before="120" w:line="240" w:lineRule="auto"/>
      <w:jc w:val="left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