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widowControl w:val="0"/>
        <w:pBdr/>
        <w:tabs>
          <w:tab w:val="left" w:pos="7080"/>
          <w:tab w:val="right" w:pos="9923"/>
        </w:tabs>
        <w:spacing w:after="60" w:before="0" w:line="240" w:lineRule="auto"/>
        <w:ind w:firstLine="720"/>
        <w:contextualSpacing w:val="0"/>
        <w:jc w:val="center"/>
        <w:rPr/>
      </w:pPr>
      <w:r w:rsidDel="00000000" w:rsidR="00000000" w:rsidRPr="00000000">
        <w:rPr>
          <w:rFonts w:ascii="Arial" w:cs="Arial" w:eastAsia="Arial" w:hAnsi="Arial"/>
          <w:b w:val="1"/>
          <w:sz w:val="40"/>
          <w:szCs w:val="40"/>
          <w:vertAlign w:val="baseline"/>
          <w:rtl w:val="0"/>
        </w:rPr>
        <w:t xml:space="preserve">EXTRAKT z technické specifikace ISO</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0"/>
          <w:szCs w:val="20"/>
          <w:vertAlign w:val="baseline"/>
          <w:rtl w:val="0"/>
        </w:rPr>
        <w:t xml:space="preserve">Extrakt nenahrazuje samotnou technickou normu, je pouze informativním materiálem o normě.</w:t>
      </w:r>
      <w:r w:rsidDel="00000000" w:rsidR="00000000" w:rsidRPr="00000000">
        <w:rPr>
          <w:rtl w:val="0"/>
        </w:rPr>
      </w:r>
    </w:p>
    <w:p w:rsidR="00000000" w:rsidDel="00000000" w:rsidP="00000000" w:rsidRDefault="00000000" w:rsidRPr="00000000">
      <w:pPr>
        <w:widowControl w:val="0"/>
        <w:pBdr/>
        <w:tabs>
          <w:tab w:val="left" w:pos="7080"/>
          <w:tab w:val="right" w:pos="9923"/>
        </w:tabs>
        <w:spacing w:after="60" w:before="0" w:line="240" w:lineRule="auto"/>
        <w:contextualSpacing w:val="0"/>
        <w:jc w:val="both"/>
        <w:rPr/>
      </w:pPr>
      <w:r w:rsidDel="00000000" w:rsidR="00000000" w:rsidRPr="00000000">
        <w:rPr>
          <w:rFonts w:ascii="Arial" w:cs="Arial" w:eastAsia="Arial" w:hAnsi="Arial"/>
          <w:b w:val="0"/>
          <w:sz w:val="16"/>
          <w:szCs w:val="16"/>
          <w:vertAlign w:val="baseline"/>
          <w:rtl w:val="0"/>
        </w:rPr>
        <w:t xml:space="preserve">ICS 35.240.60</w:t>
        <w:tab/>
      </w:r>
      <w:r w:rsidDel="00000000" w:rsidR="00000000" w:rsidRPr="00000000">
        <w:rPr>
          <w:rtl w:val="0"/>
        </w:rPr>
      </w:r>
    </w:p>
    <w:tbl>
      <w:tblPr>
        <w:tblStyle w:val="Table1"/>
        <w:bidiVisual w:val="0"/>
        <w:tblW w:w="9121.0" w:type="dxa"/>
        <w:jc w:val="left"/>
        <w:tblLayout w:type="fixed"/>
        <w:tblLook w:val="0000"/>
      </w:tblPr>
      <w:tblGrid>
        <w:gridCol w:w="5901"/>
        <w:gridCol w:w="3220"/>
        <w:tblGridChange w:id="0">
          <w:tblGrid>
            <w:gridCol w:w="5901"/>
            <w:gridCol w:w="3220"/>
          </w:tblGrid>
        </w:tblGridChange>
      </w:tblGrid>
      <w:tr>
        <w:trPr>
          <w:trHeight w:val="1020" w:hRule="atLeast"/>
        </w:trPr>
        <w:tc>
          <w:tcPr>
            <w:tcBorders>
              <w:top w:color="000000" w:space="0" w:sz="12" w:val="single"/>
              <w:bottom w:color="000000" w:space="0" w:sz="12" w:val="single"/>
            </w:tcBorders>
          </w:tcPr>
          <w:p w:rsidR="00000000" w:rsidDel="00000000" w:rsidP="00000000" w:rsidRDefault="00000000" w:rsidRPr="00000000">
            <w:pPr>
              <w:pBdr/>
              <w:spacing w:after="0" w:before="180" w:line="240" w:lineRule="auto"/>
              <w:contextualSpacing w:val="0"/>
              <w:jc w:val="left"/>
              <w:rPr/>
            </w:pPr>
            <w:r w:rsidDel="00000000" w:rsidR="00000000" w:rsidRPr="00000000">
              <w:rPr>
                <w:rFonts w:ascii="Arial" w:cs="Arial" w:eastAsia="Arial" w:hAnsi="Arial"/>
                <w:b w:val="1"/>
                <w:sz w:val="32"/>
                <w:szCs w:val="32"/>
                <w:vertAlign w:val="baseline"/>
                <w:rtl w:val="0"/>
              </w:rPr>
              <w:t xml:space="preserve">Elektronický</w:t>
            </w:r>
            <w:r w:rsidDel="00000000" w:rsidR="00000000" w:rsidRPr="00000000">
              <w:rPr>
                <w:rFonts w:ascii="Arial" w:cs="Arial" w:eastAsia="Arial" w:hAnsi="Arial"/>
                <w:b w:val="1"/>
                <w:sz w:val="32"/>
                <w:szCs w:val="32"/>
                <w:vertAlign w:val="baseline"/>
                <w:rtl w:val="0"/>
              </w:rPr>
              <w:t xml:space="preserve"> výběr poplatků (EFC) – Bezpečnostní rámec</w:t>
            </w: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pPr>
              <w:pBdr/>
              <w:spacing w:after="0" w:before="180" w:line="240" w:lineRule="auto"/>
              <w:ind w:left="903" w:firstLine="142.00000000000003"/>
              <w:contextualSpacing w:val="0"/>
              <w:jc w:val="left"/>
              <w:rPr/>
            </w:pPr>
            <w:r w:rsidDel="00000000" w:rsidR="00000000" w:rsidRPr="00000000">
              <w:rPr>
                <w:rFonts w:ascii="Arial" w:cs="Arial" w:eastAsia="Arial" w:hAnsi="Arial"/>
                <w:b w:val="1"/>
                <w:sz w:val="32"/>
                <w:szCs w:val="32"/>
                <w:vertAlign w:val="baseline"/>
                <w:rtl w:val="0"/>
              </w:rPr>
              <w:t xml:space="preserve">CEN/TS 16439</w:t>
            </w:r>
            <w:r w:rsidDel="00000000" w:rsidR="00000000" w:rsidRPr="00000000">
              <w:rPr>
                <w:rtl w:val="0"/>
              </w:rPr>
            </w:r>
          </w:p>
        </w:tc>
      </w:tr>
    </w:tbl>
    <w:p w:rsidR="00000000" w:rsidDel="00000000" w:rsidP="00000000" w:rsidRDefault="00000000" w:rsidRPr="00000000">
      <w:pPr>
        <w:keepNext w:val="1"/>
        <w:keepLines w:val="1"/>
        <w:pBdr/>
        <w:tabs>
          <w:tab w:val="left" w:pos="7920"/>
        </w:tabs>
        <w:spacing w:after="360" w:before="240" w:line="240" w:lineRule="auto"/>
        <w:contextualSpacing w:val="0"/>
        <w:jc w:val="right"/>
        <w:rPr/>
      </w:pPr>
      <w:r w:rsidDel="00000000" w:rsidR="00000000" w:rsidRPr="00000000">
        <w:rPr>
          <w:rFonts w:ascii="Arial" w:cs="Arial" w:eastAsia="Arial" w:hAnsi="Arial"/>
          <w:b w:val="0"/>
          <w:sz w:val="28"/>
          <w:szCs w:val="28"/>
          <w:vertAlign w:val="baseline"/>
          <w:rtl w:val="0"/>
        </w:rPr>
        <w:t xml:space="preserve">141 stran</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2"/>
          <w:szCs w:val="22"/>
          <w:vertAlign w:val="baseline"/>
          <w:rtl w:val="0"/>
        </w:rPr>
        <w:t xml:space="preserve">Úvod</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Elektronické mýtné systémy se skládají z několika subjektů, které si mezi sebou elektronicky předávají informace. Pro správnou funkci takového systému je nutné zajistit, že předávaná data nemohou být nikým narušena, podvržena nebo zcizena. Vzájemná důvěra mezi subjekty je postavena na přijetí a dodržování bezpečnostních pravidel komunikace.</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Pr>
          <w:rFonts w:ascii="Arial" w:cs="Arial" w:eastAsia="Arial" w:hAnsi="Arial"/>
          <w:sz w:val="20"/>
          <w:szCs w:val="20"/>
          <w:vertAlign w:val="baseline"/>
          <w:rtl w:val="0"/>
        </w:rPr>
        <w:t xml:space="preserve">Poznámka: Extrakt uvádí vybrané kapitoly popisovaného dokumentu a přejímá původní číslování kapitol.</w:t>
      </w:r>
    </w:p>
    <w:p w:rsidR="00000000" w:rsidDel="00000000" w:rsidP="00000000" w:rsidRDefault="00000000" w:rsidRPr="00000000">
      <w:pPr>
        <w:pBdr/>
        <w:spacing w:after="120" w:before="0" w:line="240"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2"/>
          <w:szCs w:val="22"/>
          <w:vertAlign w:val="baseline"/>
          <w:rtl w:val="0"/>
        </w:rPr>
        <w:t xml:space="preserve">Užití</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Technická specifikace CEN/TS 16439 analyzuje možné útoky na elektronický mýtný systém a definuje bezpečnostní opatření a požadavky na jednotlivé komponenty, které omezí rizika plynoucí z použité elektronické komunikace. Je primárně určena </w:t>
      </w:r>
      <w:r w:rsidDel="00000000" w:rsidR="00000000" w:rsidRPr="00000000">
        <w:rPr>
          <w:rFonts w:ascii="Arial" w:cs="Arial" w:eastAsia="Arial" w:hAnsi="Arial"/>
          <w:b w:val="1"/>
          <w:sz w:val="20"/>
          <w:szCs w:val="20"/>
          <w:vertAlign w:val="baseline"/>
          <w:rtl w:val="0"/>
        </w:rPr>
        <w:t xml:space="preserve">pro odborníky navrhující mýtné systémy</w:t>
      </w:r>
      <w:r w:rsidDel="00000000" w:rsidR="00000000" w:rsidRPr="00000000">
        <w:rPr>
          <w:rFonts w:ascii="Arial" w:cs="Arial" w:eastAsia="Arial" w:hAnsi="Arial"/>
          <w:b w:val="0"/>
          <w:sz w:val="20"/>
          <w:szCs w:val="20"/>
          <w:vertAlign w:val="baseline"/>
          <w:rtl w:val="0"/>
        </w:rPr>
        <w:t xml:space="preserve"> (systémové architekty), ale díky podrobné analýze možných útoků může být cenným materiálem i pro </w:t>
      </w:r>
      <w:r w:rsidDel="00000000" w:rsidR="00000000" w:rsidRPr="00000000">
        <w:rPr>
          <w:rFonts w:ascii="Arial" w:cs="Arial" w:eastAsia="Arial" w:hAnsi="Arial"/>
          <w:b w:val="1"/>
          <w:sz w:val="20"/>
          <w:szCs w:val="20"/>
          <w:vertAlign w:val="baseline"/>
          <w:rtl w:val="0"/>
        </w:rPr>
        <w:t xml:space="preserve">pracovníky státní správy</w:t>
      </w:r>
      <w:r w:rsidDel="00000000" w:rsidR="00000000" w:rsidRPr="00000000">
        <w:rPr>
          <w:rFonts w:ascii="Arial" w:cs="Arial" w:eastAsia="Arial" w:hAnsi="Arial"/>
          <w:b w:val="0"/>
          <w:sz w:val="20"/>
          <w:szCs w:val="20"/>
          <w:vertAlign w:val="baseline"/>
          <w:rtl w:val="0"/>
        </w:rPr>
        <w:t xml:space="preserve"> hodnotící rizika spojená s elektronickými mýtnými systémy.</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2"/>
          <w:szCs w:val="22"/>
          <w:vertAlign w:val="baseline"/>
          <w:rtl w:val="0"/>
        </w:rPr>
        <w:t xml:space="preserve">1 Předmět normy</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Technická specifikace CEN/TS 16439 </w:t>
      </w:r>
      <w:r w:rsidDel="00000000" w:rsidR="00000000" w:rsidRPr="00000000">
        <w:rPr>
          <w:b w:val="1"/>
          <w:sz w:val="20"/>
          <w:szCs w:val="20"/>
          <w:rtl w:val="0"/>
        </w:rPr>
        <w:t xml:space="preserve">popisuje</w:t>
      </w:r>
      <w:r w:rsidDel="00000000" w:rsidR="00000000" w:rsidRPr="00000000">
        <w:rPr>
          <w:rFonts w:ascii="Arial" w:cs="Arial" w:eastAsia="Arial" w:hAnsi="Arial"/>
          <w:b w:val="0"/>
          <w:sz w:val="20"/>
          <w:szCs w:val="20"/>
          <w:vertAlign w:val="baseline"/>
          <w:rtl w:val="0"/>
        </w:rPr>
        <w:t xml:space="preserve"> následující aspekt</w:t>
      </w:r>
      <w:r w:rsidDel="00000000" w:rsidR="00000000" w:rsidRPr="00000000">
        <w:rPr>
          <w:sz w:val="20"/>
          <w:szCs w:val="20"/>
          <w:rtl w:val="0"/>
        </w:rPr>
        <w:t xml:space="preserve">y</w:t>
      </w:r>
      <w:r w:rsidDel="00000000" w:rsidR="00000000" w:rsidRPr="00000000">
        <w:rPr>
          <w:rFonts w:ascii="Arial" w:cs="Arial" w:eastAsia="Arial" w:hAnsi="Arial"/>
          <w:b w:val="0"/>
          <w:sz w:val="20"/>
          <w:szCs w:val="20"/>
          <w:vertAlign w:val="baseline"/>
          <w:rtl w:val="0"/>
        </w:rPr>
        <w:t xml:space="preserve"> bezpečnosti v systémech elektronického mýta: obecné informace o cílech bezpečnosti zainteresovaných </w:t>
      </w:r>
      <w:r w:rsidDel="00000000" w:rsidR="00000000" w:rsidRPr="00000000">
        <w:rPr>
          <w:sz w:val="20"/>
          <w:szCs w:val="20"/>
          <w:rtl w:val="0"/>
        </w:rPr>
        <w:t xml:space="preserve">stran</w:t>
      </w:r>
      <w:r w:rsidDel="00000000" w:rsidR="00000000" w:rsidRPr="00000000">
        <w:rPr>
          <w:rFonts w:ascii="Arial" w:cs="Arial" w:eastAsia="Arial" w:hAnsi="Arial"/>
          <w:b w:val="0"/>
          <w:sz w:val="20"/>
          <w:szCs w:val="20"/>
          <w:vertAlign w:val="baseline"/>
          <w:rtl w:val="0"/>
        </w:rPr>
        <w:t xml:space="preserve">, analýza bezpečnostních hrozeb, definice modelu vzájemné důvěry, bezpečnostní požadavky, bezpečnostní opatření a protiopatření, specifikace bezpečného rozhraní, správa klíčů, bezpečnostní pravidla, ochrana osobních </w:t>
      </w:r>
      <w:r w:rsidDel="00000000" w:rsidR="00000000" w:rsidRPr="00000000">
        <w:rPr>
          <w:rFonts w:ascii="Arial" w:cs="Arial" w:eastAsia="Arial" w:hAnsi="Arial"/>
          <w:b w:val="0"/>
          <w:sz w:val="20"/>
          <w:szCs w:val="20"/>
          <w:vertAlign w:val="baseline"/>
          <w:rtl w:val="0"/>
        </w:rPr>
        <w:t xml:space="preserve">údajů</w:t>
      </w:r>
      <w:r w:rsidDel="00000000" w:rsidR="00000000" w:rsidRPr="00000000">
        <w:rPr>
          <w:rFonts w:ascii="Arial" w:cs="Arial" w:eastAsia="Arial" w:hAnsi="Arial"/>
          <w:b w:val="0"/>
          <w:sz w:val="20"/>
          <w:szCs w:val="20"/>
          <w:vertAlign w:val="baseline"/>
          <w:rtl w:val="0"/>
        </w:rPr>
        <w:t xml:space="preserve">.</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Popisovaná technická specifikace </w:t>
      </w:r>
      <w:r w:rsidDel="00000000" w:rsidR="00000000" w:rsidRPr="00000000">
        <w:rPr>
          <w:rFonts w:ascii="Arial" w:cs="Arial" w:eastAsia="Arial" w:hAnsi="Arial"/>
          <w:b w:val="1"/>
          <w:sz w:val="20"/>
          <w:szCs w:val="20"/>
          <w:vertAlign w:val="baseline"/>
          <w:rtl w:val="0"/>
        </w:rPr>
        <w:t xml:space="preserve">se nezabývá</w:t>
      </w:r>
      <w:r w:rsidDel="00000000" w:rsidR="00000000" w:rsidRPr="00000000">
        <w:rPr>
          <w:rFonts w:ascii="Arial" w:cs="Arial" w:eastAsia="Arial" w:hAnsi="Arial"/>
          <w:b w:val="0"/>
          <w:sz w:val="20"/>
          <w:szCs w:val="20"/>
          <w:vertAlign w:val="baseline"/>
          <w:rtl w:val="0"/>
        </w:rPr>
        <w:t xml:space="preserve"> analýzou rizik kompletního systému elektronického mýta, bezpečnostními riziky aplikací běžících na OBU ve vozidlech, </w:t>
      </w:r>
      <w:r w:rsidDel="00000000" w:rsidR="00000000" w:rsidRPr="00000000">
        <w:rPr>
          <w:rFonts w:ascii="Arial" w:cs="Arial" w:eastAsia="Arial" w:hAnsi="Arial"/>
          <w:b w:val="0"/>
          <w:sz w:val="20"/>
          <w:szCs w:val="20"/>
          <w:vertAlign w:val="baseline"/>
          <w:rtl w:val="0"/>
        </w:rPr>
        <w:t xml:space="preserve">rozhraní</w:t>
      </w:r>
      <w:r w:rsidDel="00000000" w:rsidR="00000000" w:rsidRPr="00000000">
        <w:rPr>
          <w:rFonts w:ascii="Arial" w:cs="Arial" w:eastAsia="Arial" w:hAnsi="Arial"/>
          <w:b w:val="0"/>
          <w:sz w:val="20"/>
          <w:szCs w:val="20"/>
          <w:vertAlign w:val="baseline"/>
          <w:rtl w:val="0"/>
        </w:rPr>
        <w:t xml:space="preserve">m</w:t>
      </w:r>
      <w:r w:rsidDel="00000000" w:rsidR="00000000" w:rsidRPr="00000000">
        <w:rPr>
          <w:rFonts w:ascii="Arial" w:cs="Arial" w:eastAsia="Arial" w:hAnsi="Arial"/>
          <w:b w:val="0"/>
          <w:sz w:val="20"/>
          <w:szCs w:val="20"/>
          <w:vertAlign w:val="baseline"/>
          <w:rtl w:val="0"/>
        </w:rPr>
        <w:t xml:space="preserve"> subjektu správce interoperability, technickými opatřeními zajišťujícími důvěru mezi poskytovatelem mýtné služby a uživatelem, kompletním popisem všech potřebných bezpečnostních opatření řešících všechny popsané hrozby, konkrétním popisem implementace bezpečnostních opatření pro konkrétní systém, např. EETS, detailním popisem ochrany osobních údajů.</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2"/>
          <w:szCs w:val="22"/>
          <w:vertAlign w:val="baseline"/>
          <w:rtl w:val="0"/>
        </w:rPr>
        <w:t xml:space="preserve">2 Souvisící normy</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Norma souvisí s širokým spektrem norem pro EFC, např. EN 15509, ISO 17573, CEN ISO/TS 17575-1, CEN ISO/TS 12813, CEN ISO/TS 13141 a EN ISO 12855, dále s normami souvisejícími s bezpečnostními technikami jako ISO/IEC 9797-1, ISO/IEC 10118-3, ISO/IEC 11770-1, ISO/IEC 14888-2, ISO/IEC 18033-2, ISO/IEC 19790, poslední skupinou souvisejících dokumentů jsou </w:t>
      </w:r>
      <w:r w:rsidDel="00000000" w:rsidR="00000000" w:rsidRPr="00000000">
        <w:rPr>
          <w:sz w:val="20"/>
          <w:szCs w:val="20"/>
          <w:rtl w:val="0"/>
        </w:rPr>
        <w:t xml:space="preserve">RFC (Request for Comments</w:t>
      </w:r>
      <w:r w:rsidDel="00000000" w:rsidR="00000000" w:rsidRPr="00000000">
        <w:rPr>
          <w:rFonts w:ascii="Arial" w:cs="Arial" w:eastAsia="Arial" w:hAnsi="Arial"/>
          <w:b w:val="0"/>
          <w:sz w:val="20"/>
          <w:szCs w:val="20"/>
          <w:vertAlign w:val="baseline"/>
          <w:rtl w:val="0"/>
        </w:rPr>
        <w:t xml:space="preserve">)</w:t>
      </w:r>
      <w:r w:rsidDel="00000000" w:rsidR="00000000" w:rsidRPr="00000000">
        <w:rPr>
          <w:rFonts w:ascii="Arial" w:cs="Arial" w:eastAsia="Arial" w:hAnsi="Arial"/>
          <w:b w:val="0"/>
          <w:sz w:val="20"/>
          <w:szCs w:val="20"/>
          <w:vertAlign w:val="baseline"/>
          <w:rtl w:val="0"/>
        </w:rPr>
        <w:t xml:space="preserve"> vydávané Komisí techniky Internetu (IETF) např. RFC4301, RFC4347, RFC4648, RFC5035, RFC5246, RFC5280, RFC5746.</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2"/>
          <w:szCs w:val="22"/>
          <w:vertAlign w:val="baseline"/>
          <w:rtl w:val="0"/>
        </w:rPr>
        <w:t xml:space="preserve">3 Termíny a definice</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Tato technická specifikace definuje 55 termínů</w:t>
      </w:r>
      <w:r w:rsidDel="00000000" w:rsidR="00000000" w:rsidRPr="00000000">
        <w:rPr>
          <w:sz w:val="20"/>
          <w:szCs w:val="20"/>
          <w:rtl w:val="0"/>
        </w:rPr>
        <w:t xml:space="preserve">,</w:t>
      </w:r>
      <w:r w:rsidDel="00000000" w:rsidR="00000000" w:rsidRPr="00000000">
        <w:rPr>
          <w:rFonts w:ascii="Arial" w:cs="Arial" w:eastAsia="Arial" w:hAnsi="Arial"/>
          <w:b w:val="0"/>
          <w:sz w:val="20"/>
          <w:szCs w:val="20"/>
          <w:vertAlign w:val="baseline"/>
          <w:rtl w:val="0"/>
        </w:rPr>
        <w:t xml:space="preserve"> </w:t>
      </w:r>
      <w:r w:rsidDel="00000000" w:rsidR="00000000" w:rsidRPr="00000000">
        <w:rPr>
          <w:sz w:val="20"/>
          <w:szCs w:val="20"/>
          <w:rtl w:val="0"/>
        </w:rPr>
        <w:t xml:space="preserve">n</w:t>
      </w:r>
      <w:r w:rsidDel="00000000" w:rsidR="00000000" w:rsidRPr="00000000">
        <w:rPr>
          <w:rFonts w:ascii="Arial" w:cs="Arial" w:eastAsia="Arial" w:hAnsi="Arial"/>
          <w:b w:val="0"/>
          <w:sz w:val="20"/>
          <w:szCs w:val="20"/>
          <w:vertAlign w:val="baseline"/>
          <w:rtl w:val="0"/>
        </w:rPr>
        <w:t xml:space="preserve">apříklad:</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0"/>
          <w:szCs w:val="20"/>
          <w:vertAlign w:val="baseline"/>
          <w:rtl w:val="0"/>
        </w:rPr>
        <w:br w:type="textWrapping"/>
        <w:t xml:space="preserve">majetek </w:t>
      </w:r>
      <w:r w:rsidDel="00000000" w:rsidR="00000000" w:rsidRPr="00000000">
        <w:rPr>
          <w:rFonts w:ascii="Arial" w:cs="Arial" w:eastAsia="Arial" w:hAnsi="Arial"/>
          <w:b w:val="0"/>
          <w:i w:val="1"/>
          <w:sz w:val="20"/>
          <w:szCs w:val="20"/>
          <w:vertAlign w:val="baseline"/>
          <w:rtl w:val="0"/>
        </w:rPr>
        <w:t xml:space="preserve">(asset)</w:t>
        <w:tab/>
        <w:br w:type="textWrapping"/>
      </w:r>
      <w:r w:rsidDel="00000000" w:rsidR="00000000" w:rsidRPr="00000000">
        <w:rPr>
          <w:sz w:val="20"/>
          <w:szCs w:val="20"/>
          <w:rtl w:val="0"/>
        </w:rPr>
        <w:t xml:space="preserve">c</w:t>
      </w:r>
      <w:r w:rsidDel="00000000" w:rsidR="00000000" w:rsidRPr="00000000">
        <w:rPr>
          <w:rFonts w:ascii="Arial" w:cs="Arial" w:eastAsia="Arial" w:hAnsi="Arial"/>
          <w:b w:val="0"/>
          <w:sz w:val="20"/>
          <w:szCs w:val="20"/>
          <w:vertAlign w:val="baseline"/>
          <w:rtl w:val="0"/>
        </w:rPr>
        <w:t xml:space="preserve">okoliv, co má pro zainteresovaný subjekt v rámci </w:t>
      </w:r>
      <w:r w:rsidDel="00000000" w:rsidR="00000000" w:rsidRPr="00000000">
        <w:rPr>
          <w:rFonts w:ascii="Arial" w:cs="Arial" w:eastAsia="Arial" w:hAnsi="Arial"/>
          <w:b w:val="0"/>
          <w:sz w:val="20"/>
          <w:szCs w:val="20"/>
          <w:vertAlign w:val="baseline"/>
          <w:rtl w:val="0"/>
        </w:rPr>
        <w:t xml:space="preserve">EFC</w:t>
      </w:r>
      <w:r w:rsidDel="00000000" w:rsidR="00000000" w:rsidRPr="00000000">
        <w:rPr>
          <w:rFonts w:ascii="Arial" w:cs="Arial" w:eastAsia="Arial" w:hAnsi="Arial"/>
          <w:b w:val="0"/>
          <w:sz w:val="20"/>
          <w:szCs w:val="20"/>
          <w:vertAlign w:val="baseline"/>
          <w:rtl w:val="0"/>
        </w:rPr>
        <w:t xml:space="preserve"> systému nějakou hodnotu</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0"/>
          <w:szCs w:val="20"/>
          <w:vertAlign w:val="baseline"/>
          <w:rtl w:val="0"/>
        </w:rPr>
        <w:t xml:space="preserve">útok </w:t>
      </w:r>
      <w:r w:rsidDel="00000000" w:rsidR="00000000" w:rsidRPr="00000000">
        <w:rPr>
          <w:rFonts w:ascii="Arial" w:cs="Arial" w:eastAsia="Arial" w:hAnsi="Arial"/>
          <w:b w:val="0"/>
          <w:i w:val="1"/>
          <w:sz w:val="20"/>
          <w:szCs w:val="20"/>
          <w:vertAlign w:val="baseline"/>
          <w:rtl w:val="0"/>
        </w:rPr>
        <w:t xml:space="preserve">(attack)</w:t>
        <w:tab/>
        <w:br w:type="textWrapping"/>
      </w:r>
      <w:r w:rsidDel="00000000" w:rsidR="00000000" w:rsidRPr="00000000">
        <w:rPr>
          <w:sz w:val="20"/>
          <w:szCs w:val="20"/>
          <w:rtl w:val="0"/>
        </w:rPr>
        <w:t xml:space="preserve">p</w:t>
      </w:r>
      <w:r w:rsidDel="00000000" w:rsidR="00000000" w:rsidRPr="00000000">
        <w:rPr>
          <w:rFonts w:ascii="Arial" w:cs="Arial" w:eastAsia="Arial" w:hAnsi="Arial"/>
          <w:b w:val="0"/>
          <w:sz w:val="20"/>
          <w:szCs w:val="20"/>
          <w:vertAlign w:val="baseline"/>
          <w:rtl w:val="0"/>
        </w:rPr>
        <w:t xml:space="preserve">okus o zničení, odhalení, změnu, zablokování, zcizení, získání neautorizovaného přístupu nebo zneužití majetku</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0"/>
          <w:szCs w:val="20"/>
          <w:vertAlign w:val="baseline"/>
          <w:rtl w:val="0"/>
        </w:rPr>
        <w:t xml:space="preserve">zabezpečení informací </w:t>
      </w:r>
      <w:r w:rsidDel="00000000" w:rsidR="00000000" w:rsidRPr="00000000">
        <w:rPr>
          <w:rFonts w:ascii="Arial" w:cs="Arial" w:eastAsia="Arial" w:hAnsi="Arial"/>
          <w:b w:val="0"/>
          <w:i w:val="1"/>
          <w:sz w:val="20"/>
          <w:szCs w:val="20"/>
          <w:vertAlign w:val="baseline"/>
          <w:rtl w:val="0"/>
        </w:rPr>
        <w:t xml:space="preserve">(information security)</w:t>
        <w:tab/>
      </w:r>
      <w:r w:rsidDel="00000000" w:rsidR="00000000" w:rsidRPr="00000000">
        <w:rPr>
          <w:rFonts w:ascii="Arial" w:cs="Arial" w:eastAsia="Arial" w:hAnsi="Arial"/>
          <w:b w:val="1"/>
          <w:sz w:val="20"/>
          <w:szCs w:val="20"/>
          <w:vertAlign w:val="baseline"/>
          <w:rtl w:val="0"/>
        </w:rPr>
        <w:br w:type="textWrapping"/>
      </w:r>
      <w:r w:rsidDel="00000000" w:rsidR="00000000" w:rsidRPr="00000000">
        <w:rPr>
          <w:sz w:val="20"/>
          <w:szCs w:val="20"/>
          <w:rtl w:val="0"/>
        </w:rPr>
        <w:t xml:space="preserve">z</w:t>
      </w:r>
      <w:r w:rsidDel="00000000" w:rsidR="00000000" w:rsidRPr="00000000">
        <w:rPr>
          <w:rFonts w:ascii="Arial" w:cs="Arial" w:eastAsia="Arial" w:hAnsi="Arial"/>
          <w:b w:val="0"/>
          <w:sz w:val="20"/>
          <w:szCs w:val="20"/>
          <w:vertAlign w:val="baseline"/>
          <w:rtl w:val="0"/>
        </w:rPr>
        <w:t xml:space="preserve">achování tajnosti, integrity a dostupnosti informací</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0"/>
          <w:szCs w:val="20"/>
          <w:vertAlign w:val="baseline"/>
          <w:rtl w:val="0"/>
        </w:rPr>
        <w:t xml:space="preserve">mimořádná bezpečnostní událost </w:t>
      </w:r>
      <w:r w:rsidDel="00000000" w:rsidR="00000000" w:rsidRPr="00000000">
        <w:rPr>
          <w:rFonts w:ascii="Arial" w:cs="Arial" w:eastAsia="Arial" w:hAnsi="Arial"/>
          <w:b w:val="0"/>
          <w:i w:val="1"/>
          <w:sz w:val="20"/>
          <w:szCs w:val="20"/>
          <w:vertAlign w:val="baseline"/>
          <w:rtl w:val="0"/>
        </w:rPr>
        <w:t xml:space="preserve">(information security incident)</w:t>
        <w:tab/>
        <w:br w:type="textWrapping"/>
      </w:r>
      <w:r w:rsidDel="00000000" w:rsidR="00000000" w:rsidRPr="00000000">
        <w:rPr>
          <w:sz w:val="20"/>
          <w:szCs w:val="20"/>
          <w:rtl w:val="0"/>
        </w:rPr>
        <w:t xml:space="preserve">j</w:t>
      </w:r>
      <w:r w:rsidDel="00000000" w:rsidR="00000000" w:rsidRPr="00000000">
        <w:rPr>
          <w:rFonts w:ascii="Arial" w:cs="Arial" w:eastAsia="Arial" w:hAnsi="Arial"/>
          <w:b w:val="0"/>
          <w:sz w:val="20"/>
          <w:szCs w:val="20"/>
          <w:vertAlign w:val="baseline"/>
          <w:rtl w:val="0"/>
        </w:rPr>
        <w:t xml:space="preserve">ednotlivý případ nebo série případů nechtěných nebo neočekávaných událostí, které s významnou pravděpodobností kompromitují provoz společnosti nebo ohrožují zabezpečení informací</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0"/>
          <w:szCs w:val="20"/>
          <w:vertAlign w:val="baseline"/>
          <w:rtl w:val="0"/>
        </w:rPr>
        <w:t xml:space="preserve">integrita </w:t>
      </w:r>
      <w:r w:rsidDel="00000000" w:rsidR="00000000" w:rsidRPr="00000000">
        <w:rPr>
          <w:rFonts w:ascii="Arial" w:cs="Arial" w:eastAsia="Arial" w:hAnsi="Arial"/>
          <w:b w:val="0"/>
          <w:i w:val="1"/>
          <w:sz w:val="20"/>
          <w:szCs w:val="20"/>
          <w:vertAlign w:val="baseline"/>
          <w:rtl w:val="0"/>
        </w:rPr>
        <w:t xml:space="preserve">(integrity)</w:t>
        <w:br w:type="textWrapping"/>
      </w:r>
      <w:r w:rsidDel="00000000" w:rsidR="00000000" w:rsidRPr="00000000">
        <w:rPr>
          <w:rFonts w:ascii="Arial" w:cs="Arial" w:eastAsia="Arial" w:hAnsi="Arial"/>
          <w:b w:val="0"/>
          <w:sz w:val="20"/>
          <w:szCs w:val="20"/>
          <w:vertAlign w:val="baseline"/>
          <w:rtl w:val="0"/>
        </w:rPr>
        <w:t xml:space="preserve">neporušenost a kompletnost </w:t>
      </w:r>
      <w:r w:rsidDel="00000000" w:rsidR="00000000" w:rsidRPr="00000000">
        <w:rPr>
          <w:sz w:val="20"/>
          <w:szCs w:val="20"/>
          <w:rtl w:val="0"/>
        </w:rPr>
        <w:t xml:space="preserve">dat</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0"/>
          <w:szCs w:val="20"/>
          <w:vertAlign w:val="baseline"/>
          <w:rtl w:val="0"/>
        </w:rPr>
        <w:t xml:space="preserve">zranitelnost </w:t>
      </w:r>
      <w:r w:rsidDel="00000000" w:rsidR="00000000" w:rsidRPr="00000000">
        <w:rPr>
          <w:rFonts w:ascii="Arial" w:cs="Arial" w:eastAsia="Arial" w:hAnsi="Arial"/>
          <w:b w:val="0"/>
          <w:i w:val="1"/>
          <w:sz w:val="20"/>
          <w:szCs w:val="20"/>
          <w:vertAlign w:val="baseline"/>
          <w:rtl w:val="0"/>
        </w:rPr>
        <w:t xml:space="preserve">(vulnerability)</w:t>
        <w:tab/>
        <w:br w:type="textWrapping"/>
      </w:r>
      <w:r w:rsidDel="00000000" w:rsidR="00000000" w:rsidRPr="00000000">
        <w:rPr>
          <w:sz w:val="20"/>
          <w:szCs w:val="20"/>
          <w:rtl w:val="0"/>
        </w:rPr>
        <w:t xml:space="preserve">s</w:t>
      </w:r>
      <w:r w:rsidDel="00000000" w:rsidR="00000000" w:rsidRPr="00000000">
        <w:rPr>
          <w:rFonts w:ascii="Arial" w:cs="Arial" w:eastAsia="Arial" w:hAnsi="Arial"/>
          <w:b w:val="0"/>
          <w:sz w:val="20"/>
          <w:szCs w:val="20"/>
          <w:vertAlign w:val="baseline"/>
          <w:rtl w:val="0"/>
        </w:rPr>
        <w:t xml:space="preserve">labina daného majetku nebo procesu, která může být využita k jejímu ohrožení</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Pr>
          <w:rFonts w:ascii="Arial" w:cs="Arial" w:eastAsia="Arial" w:hAnsi="Arial"/>
          <w:sz w:val="20"/>
          <w:szCs w:val="20"/>
          <w:vertAlign w:val="baseline"/>
          <w:rtl w:val="0"/>
        </w:rPr>
        <w:t xml:space="preserve">Další termíny a zkratky z oboru ITS jsou obsaženy ve slovníku ITS terminology.</w:t>
      </w:r>
    </w:p>
    <w:p w:rsidR="00000000" w:rsidDel="00000000" w:rsidP="00000000" w:rsidRDefault="00000000" w:rsidRPr="00000000">
      <w:pPr>
        <w:pBdr/>
        <w:spacing w:after="120" w:before="0" w:line="240" w:lineRule="auto"/>
        <w:contextualSpacing w:val="0"/>
        <w:jc w:val="both"/>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2"/>
          <w:szCs w:val="22"/>
          <w:vertAlign w:val="baseline"/>
          <w:rtl w:val="0"/>
        </w:rPr>
        <w:t xml:space="preserve">4 Symboly a zkratky</w:t>
      </w:r>
      <w:r w:rsidDel="00000000" w:rsidR="00000000" w:rsidRPr="00000000">
        <w:rPr>
          <w:b w:val="1"/>
          <w:rtl w:val="0"/>
        </w:rPr>
        <w:t xml:space="preserve"/>
      </w:r>
      <w:r w:rsidDel="00000000" w:rsidR="00000000" w:rsidRPr="00000000">
        <w:rPr>
          <w:rFonts w:ascii="Arial" w:cs="Arial" w:eastAsia="Arial" w:hAnsi="Arial"/>
          <w:b w:val="1"/>
          <w:sz w:val="22"/>
          <w:szCs w:val="22"/>
          <w:vertAlign w:val="baseline"/>
          <w:rtl w:val="0"/>
        </w:rPr>
        <w:t xml:space="preserve"/>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Tato technická specifikace definuje 49 zkratek</w:t>
      </w:r>
      <w:r w:rsidDel="00000000" w:rsidR="00000000" w:rsidRPr="00000000">
        <w:rPr>
          <w:sz w:val="20"/>
          <w:szCs w:val="20"/>
          <w:rtl w:val="0"/>
        </w:rPr>
        <w:t xml:space="preserve">, n</w:t>
      </w:r>
      <w:r w:rsidDel="00000000" w:rsidR="00000000" w:rsidRPr="00000000">
        <w:rPr>
          <w:rFonts w:ascii="Arial" w:cs="Arial" w:eastAsia="Arial" w:hAnsi="Arial"/>
          <w:b w:val="0"/>
          <w:sz w:val="20"/>
          <w:szCs w:val="20"/>
          <w:vertAlign w:val="baseline"/>
          <w:rtl w:val="0"/>
        </w:rPr>
        <w:t xml:space="preserve">apříklad</w:t>
      </w:r>
      <w:r w:rsidDel="00000000" w:rsidR="00000000" w:rsidRPr="00000000">
        <w:rPr>
          <w:rFonts w:ascii="Arial" w:cs="Arial" w:eastAsia="Arial" w:hAnsi="Arial"/>
          <w:b w:val="0"/>
          <w:sz w:val="20"/>
          <w:szCs w:val="20"/>
          <w:vertAlign w:val="baseline"/>
          <w:rtl w:val="0"/>
        </w:rPr>
        <w:t xml:space="preserve">:</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ISMS </w:t>
        <w:tab/>
        <w:t xml:space="preserve">Systém řízení bezpečnosti informací </w:t>
      </w:r>
      <w:r w:rsidDel="00000000" w:rsidR="00000000" w:rsidRPr="00000000">
        <w:rPr>
          <w:rFonts w:ascii="Arial" w:cs="Arial" w:eastAsia="Arial" w:hAnsi="Arial"/>
          <w:b w:val="0"/>
          <w:i w:val="1"/>
          <w:sz w:val="20"/>
          <w:szCs w:val="20"/>
          <w:vertAlign w:val="baseline"/>
          <w:rtl w:val="0"/>
        </w:rPr>
        <w:t xml:space="preserve">(Information Security management system)</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PKI</w:t>
        <w:tab/>
        <w:t xml:space="preserve">Infrastruktura pro správu a distribuci veřejných klíčů </w:t>
      </w:r>
      <w:r w:rsidDel="00000000" w:rsidR="00000000" w:rsidRPr="00000000">
        <w:rPr>
          <w:rFonts w:ascii="Arial" w:cs="Arial" w:eastAsia="Arial" w:hAnsi="Arial"/>
          <w:b w:val="0"/>
          <w:i w:val="1"/>
          <w:sz w:val="20"/>
          <w:szCs w:val="20"/>
          <w:vertAlign w:val="baseline"/>
          <w:rtl w:val="0"/>
        </w:rPr>
        <w:t xml:space="preserve">(Public Key Infrastructure)</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TTP</w:t>
        <w:tab/>
        <w:t xml:space="preserve">Důvěryhodná třetí strana </w:t>
      </w:r>
      <w:r w:rsidDel="00000000" w:rsidR="00000000" w:rsidRPr="00000000">
        <w:rPr>
          <w:rFonts w:ascii="Arial" w:cs="Arial" w:eastAsia="Arial" w:hAnsi="Arial"/>
          <w:b w:val="0"/>
          <w:i w:val="1"/>
          <w:sz w:val="20"/>
          <w:szCs w:val="20"/>
          <w:vertAlign w:val="baseline"/>
          <w:rtl w:val="0"/>
        </w:rPr>
        <w:t xml:space="preserve">(Trusted Third Party)</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Pr>
          <w:rFonts w:ascii="Arial" w:cs="Arial" w:eastAsia="Arial" w:hAnsi="Arial"/>
          <w:sz w:val="20"/>
          <w:szCs w:val="20"/>
          <w:vertAlign w:val="baseline"/>
          <w:rtl w:val="0"/>
        </w:rPr>
        <w:t xml:space="preserve">Další termíny a zkratky z oboru ITS jsou obsaženy ve slovníku ITS terminology (www.ITSterminology.org).</w:t>
      </w:r>
    </w:p>
    <w:p w:rsidR="00000000" w:rsidDel="00000000" w:rsidP="00000000" w:rsidRDefault="00000000" w:rsidRPr="00000000">
      <w:pPr>
        <w:pBdr/>
        <w:spacing w:after="120" w:before="0" w:line="240" w:lineRule="auto"/>
        <w:contextualSpacing w:val="0"/>
        <w:jc w:val="both"/>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2"/>
          <w:szCs w:val="22"/>
          <w:vertAlign w:val="baseline"/>
          <w:rtl w:val="0"/>
        </w:rPr>
        <w:t xml:space="preserve">5</w:t>
      </w:r>
      <w:r w:rsidDel="00000000" w:rsidR="00000000" w:rsidRPr="00000000">
        <w:rPr>
          <w:rFonts w:ascii="Times New Roman" w:cs="Times New Roman" w:eastAsia="Times New Roman" w:hAnsi="Times New Roman"/>
          <w:b w:val="1"/>
          <w:sz w:val="22"/>
          <w:szCs w:val="22"/>
          <w:vertAlign w:val="baseline"/>
          <w:rtl w:val="0"/>
        </w:rPr>
        <w:t xml:space="preserve"> </w:t>
      </w:r>
      <w:r w:rsidDel="00000000" w:rsidR="00000000" w:rsidRPr="00000000">
        <w:rPr>
          <w:rFonts w:ascii="Arial" w:cs="Arial" w:eastAsia="Arial" w:hAnsi="Arial"/>
          <w:b w:val="1"/>
          <w:sz w:val="22"/>
          <w:szCs w:val="22"/>
          <w:vertAlign w:val="baseline"/>
          <w:rtl w:val="0"/>
        </w:rPr>
        <w:t xml:space="preserve">Model vzájemné důvěry</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Tato kapitola popisuje možnosti navázání vzájemné důvěry mezi subjekty zastávajícími v rámci EFC role výběrčího, poskytovatele mýtné služby, uživatele a subjektu pro správu interoperability. Vysvětluje, které z těchto subjektů musí používat bezpečné komunikační kanály a jak tyto komunikační kanály vytvořit pomocí veřejných certifikátů podle ISO/IEC 9594-8 (X.509). </w:t>
      </w:r>
      <w:r w:rsidDel="00000000" w:rsidR="00000000" w:rsidRPr="00000000">
        <w:rPr>
          <w:rFonts w:ascii="Arial" w:cs="Arial" w:eastAsia="Arial" w:hAnsi="Arial"/>
          <w:b w:val="0"/>
          <w:sz w:val="20"/>
          <w:szCs w:val="20"/>
          <w:vertAlign w:val="baseline"/>
          <w:rtl w:val="0"/>
        </w:rPr>
        <w:t xml:space="preserve">Popisuje rozdíly mezi hierarchickými důvěryhodnými certifikáty, kde důvěra vycház</w:t>
      </w:r>
      <w:r w:rsidDel="00000000" w:rsidR="00000000" w:rsidRPr="00000000">
        <w:rPr>
          <w:sz w:val="20"/>
          <w:szCs w:val="20"/>
          <w:rtl w:val="0"/>
        </w:rPr>
        <w:t xml:space="preserve">í</w:t>
      </w:r>
      <w:r w:rsidDel="00000000" w:rsidR="00000000" w:rsidRPr="00000000">
        <w:rPr>
          <w:rFonts w:ascii="Arial" w:cs="Arial" w:eastAsia="Arial" w:hAnsi="Arial"/>
          <w:b w:val="0"/>
          <w:sz w:val="20"/>
          <w:szCs w:val="20"/>
          <w:vertAlign w:val="baseline"/>
          <w:rtl w:val="0"/>
        </w:rPr>
        <w:t xml:space="preserve"> z centrální certifikační autority, a navázáním důvěry způsobem "každý s každým".</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Dále jsou zde popsány doporučené způsoby odvolávání certifikátů, nastavování doby jejich platnosti a doporučené použití několika různých privátních klíčů pro různé účely.</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2"/>
          <w:szCs w:val="22"/>
          <w:vertAlign w:val="baseline"/>
          <w:rtl w:val="0"/>
        </w:rPr>
        <w:t xml:space="preserve">6 Požadavky na zabezpečení</w:t>
      </w:r>
      <w:r w:rsidDel="00000000" w:rsidR="00000000" w:rsidRPr="00000000">
        <w:rPr>
          <w:rtl w:val="0"/>
        </w:rPr>
      </w:r>
    </w:p>
    <w:p w:rsidR="00000000" w:rsidDel="00000000" w:rsidP="00000000" w:rsidRDefault="00000000" w:rsidRPr="00000000">
      <w:pPr>
        <w:widowControl w:val="0"/>
        <w:pBdr/>
        <w:tabs>
          <w:tab w:val="left" w:pos="640"/>
        </w:tabs>
        <w:spacing w:after="0" w:before="32" w:line="240" w:lineRule="auto"/>
        <w:contextualSpacing w:val="0"/>
        <w:jc w:val="both"/>
        <w:rPr/>
      </w:pPr>
      <w:r w:rsidDel="00000000" w:rsidR="00000000" w:rsidRPr="00000000">
        <w:rPr>
          <w:rFonts w:ascii="Arial" w:cs="Arial" w:eastAsia="Arial" w:hAnsi="Arial"/>
          <w:b w:val="0"/>
          <w:sz w:val="20"/>
          <w:szCs w:val="20"/>
          <w:vertAlign w:val="baseline"/>
          <w:rtl w:val="0"/>
        </w:rPr>
        <w:t xml:space="preserve">Tato kapitola obsahuje základní sadu bezpečnostních požadavků, které by měly ochránit data v EFC systému. Požadavky vycházejí z analýzy hrozeb EFC systému, která je uvedena v příloze D. Požadavky jsou seskupeny do tzv. profilů, které jsou závazné pro splnění daného profilu.</w:t>
      </w:r>
      <w:r w:rsidDel="00000000" w:rsidR="00000000" w:rsidRPr="00000000">
        <w:rPr>
          <w:rtl w:val="0"/>
        </w:rPr>
      </w:r>
    </w:p>
    <w:p w:rsidR="00000000" w:rsidDel="00000000" w:rsidP="00000000" w:rsidRDefault="00000000" w:rsidRPr="00000000">
      <w:pPr>
        <w:widowControl w:val="0"/>
        <w:pBdr/>
        <w:tabs>
          <w:tab w:val="left" w:pos="640"/>
        </w:tabs>
        <w:spacing w:after="0" w:before="32" w:line="240" w:lineRule="auto"/>
        <w:contextualSpacing w:val="0"/>
        <w:jc w:val="both"/>
        <w:rPr/>
      </w:pPr>
      <w:r w:rsidDel="00000000" w:rsidR="00000000" w:rsidRPr="00000000">
        <w:rPr>
          <w:rtl w:val="0"/>
        </w:rPr>
      </w:r>
    </w:p>
    <w:p w:rsidR="00000000" w:rsidDel="00000000" w:rsidP="00000000" w:rsidRDefault="00000000" w:rsidRPr="00000000">
      <w:pPr>
        <w:widowControl w:val="0"/>
        <w:pBdr/>
        <w:tabs>
          <w:tab w:val="left" w:pos="640"/>
        </w:tabs>
        <w:spacing w:after="0" w:before="32" w:line="240" w:lineRule="auto"/>
        <w:contextualSpacing w:val="0"/>
        <w:jc w:val="both"/>
        <w:rPr/>
      </w:pPr>
      <w:r w:rsidDel="00000000" w:rsidR="00000000" w:rsidRPr="00000000">
        <w:rPr>
          <w:rFonts w:ascii="Arial" w:cs="Arial" w:eastAsia="Arial" w:hAnsi="Arial"/>
          <w:b w:val="0"/>
          <w:sz w:val="20"/>
          <w:szCs w:val="20"/>
          <w:vertAlign w:val="baseline"/>
          <w:rtl w:val="0"/>
        </w:rPr>
        <w:t xml:space="preserve">Kapitola je tematicky rozdělena na podčásti, které popisují požadavky na zabezpečení a příslušné profily pro konkrétní komponenty EFC systému. Jedná se například o komunikační rozhraní, uchovávání dat, systém výběrčího, systém poskytovatele mýtné služby, uživatele a správce interoperability. Příklad </w:t>
      </w:r>
      <w:r w:rsidDel="00000000" w:rsidR="00000000" w:rsidRPr="00000000">
        <w:rPr>
          <w:sz w:val="20"/>
          <w:szCs w:val="20"/>
          <w:rtl w:val="0"/>
        </w:rPr>
        <w:t xml:space="preserve">požadavků pro obecné rozhraní je uveden v tabulce 3.</w:t>
      </w:r>
      <w:r w:rsidDel="00000000" w:rsidR="00000000" w:rsidRPr="00000000">
        <w:rPr>
          <w:rtl w:val="0"/>
        </w:rPr>
      </w:r>
    </w:p>
    <w:p w:rsidR="00000000" w:rsidDel="00000000" w:rsidP="00000000" w:rsidRDefault="00000000" w:rsidRPr="00000000">
      <w:pPr>
        <w:widowControl w:val="0"/>
        <w:pBdr/>
        <w:tabs>
          <w:tab w:val="left" w:pos="640"/>
        </w:tabs>
        <w:spacing w:after="0" w:before="32" w:line="240" w:lineRule="auto"/>
        <w:contextualSpacing w:val="0"/>
        <w:jc w:val="both"/>
        <w:rPr/>
      </w:pPr>
      <w:r w:rsidDel="00000000" w:rsidR="00000000" w:rsidRPr="00000000">
        <w:rPr>
          <w:rtl w:val="0"/>
        </w:rPr>
      </w:r>
    </w:p>
    <w:p w:rsidR="00000000" w:rsidDel="00000000" w:rsidP="00000000" w:rsidRDefault="00000000" w:rsidRPr="00000000">
      <w:pPr>
        <w:widowControl w:val="0"/>
        <w:pBdr/>
        <w:tabs>
          <w:tab w:val="left" w:pos="640"/>
        </w:tabs>
        <w:spacing w:after="0" w:before="32" w:line="240" w:lineRule="auto"/>
        <w:contextualSpacing w:val="0"/>
        <w:jc w:val="center"/>
        <w:rPr/>
      </w:pPr>
      <w:r w:rsidDel="00000000" w:rsidR="00000000" w:rsidRPr="00000000">
        <w:rPr>
          <w:rFonts w:ascii="Arial" w:cs="Arial" w:eastAsia="Arial" w:hAnsi="Arial"/>
          <w:b w:val="1"/>
          <w:sz w:val="20"/>
          <w:szCs w:val="20"/>
          <w:vertAlign w:val="baseline"/>
          <w:rtl w:val="0"/>
        </w:rPr>
        <w:t xml:space="preserve">Tabulka 3 — Požadavky na obecné </w:t>
      </w:r>
      <w:r w:rsidDel="00000000" w:rsidR="00000000" w:rsidRPr="00000000">
        <w:rPr>
          <w:rFonts w:ascii="Arial" w:cs="Arial" w:eastAsia="Arial" w:hAnsi="Arial"/>
          <w:b w:val="1"/>
          <w:sz w:val="20"/>
          <w:szCs w:val="20"/>
          <w:vertAlign w:val="baseline"/>
          <w:rtl w:val="0"/>
        </w:rPr>
        <w:t xml:space="preserve">rozhraní</w:t>
      </w:r>
      <w:r w:rsidDel="00000000" w:rsidR="00000000" w:rsidRPr="00000000">
        <w:rPr>
          <w:rtl w:val="0"/>
        </w:rPr>
      </w:r>
    </w:p>
    <w:tbl>
      <w:tblPr>
        <w:tblStyle w:val="Table2"/>
        <w:bidiVisual w:val="0"/>
        <w:tblW w:w="9078.0" w:type="dxa"/>
        <w:jc w:val="left"/>
        <w:tblInd w:w="55.0" w:type="dxa"/>
        <w:tblLayout w:type="fixed"/>
        <w:tblLook w:val="0000"/>
      </w:tblPr>
      <w:tblGrid>
        <w:gridCol w:w="1083"/>
        <w:gridCol w:w="7995"/>
        <w:tblGridChange w:id="0">
          <w:tblGrid>
            <w:gridCol w:w="1083"/>
            <w:gridCol w:w="7995"/>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Číslo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Požadavek</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RQ.IF.01</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Výměna dat se provádí pomocí ověřeného komunikačního kanálu, který zajistí integritu dat, důvěrnost a nepopiratelnost (doklad o původu a doručení).</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RQ.IF.02</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Výměna dat se provádí pomocí spolehlivého (dostupného) přenosového kanálu.</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RQ.IF.10 </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Výměna dat zajistí důvěrnost údajů.</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RQ.IF.11 </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Výměna dat zajistí integritu dat.</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RQ.IF.12 </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Výměna dat zaručí autenticitu dat původce.</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RQ.IF.13 </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Výměna dat zaručí nepopiratelnost s dokladem o původu.</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RQ.IF.14 </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Výměna dat zaručí nepopiratelnost s dokladem o doručení.</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RQ.IF.20 </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Výměna dat se provádí pouze mezi ověřenými subjekty.</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RQ.IF.21 </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Výměna dat se provádí pomocí ověřeného kanálu, který zajistí integritu dat a důvěrnost.</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RQ.IF.30 </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Výměna dat musí umožňovat detekci znovu zaslaných zpráv (ochrana proti "replay attacks").</w:t>
            </w:r>
            <w:r w:rsidDel="00000000" w:rsidR="00000000" w:rsidRPr="00000000">
              <w:rPr>
                <w:rtl w:val="0"/>
              </w:rPr>
            </w:r>
          </w:p>
        </w:tc>
      </w:tr>
    </w:tbl>
    <w:p w:rsidR="00000000" w:rsidDel="00000000" w:rsidP="00000000" w:rsidRDefault="00000000" w:rsidRPr="00000000">
      <w:pPr>
        <w:widowControl w:val="0"/>
        <w:pBdr/>
        <w:tabs>
          <w:tab w:val="left" w:pos="640"/>
        </w:tabs>
        <w:spacing w:after="0" w:before="32" w:line="240" w:lineRule="auto"/>
        <w:contextualSpacing w:val="0"/>
        <w:jc w:val="both"/>
        <w:rPr/>
      </w:pPr>
      <w:r w:rsidDel="00000000" w:rsidR="00000000" w:rsidRPr="00000000">
        <w:rPr>
          <w:rtl w:val="0"/>
        </w:rPr>
      </w:r>
    </w:p>
    <w:p w:rsidR="00000000" w:rsidDel="00000000" w:rsidP="00000000" w:rsidRDefault="00000000" w:rsidRPr="00000000">
      <w:pPr>
        <w:widowControl w:val="0"/>
        <w:pBdr/>
        <w:tabs>
          <w:tab w:val="left" w:pos="640"/>
        </w:tabs>
        <w:spacing w:after="0" w:before="32" w:line="240" w:lineRule="auto"/>
        <w:contextualSpacing w:val="0"/>
        <w:jc w:val="both"/>
        <w:rPr/>
      </w:pPr>
      <w:r w:rsidDel="00000000" w:rsidR="00000000" w:rsidRPr="00000000">
        <w:rPr>
          <w:sz w:val="20"/>
          <w:szCs w:val="20"/>
          <w:rtl w:val="0"/>
        </w:rPr>
        <w:t xml:space="preserve">Dále tato kapitola popisuje rizika ze kterých vychází požadavky na bezpečnost. Níže je uveden příklad hodnocení rizik </w:t>
      </w:r>
      <w:r w:rsidDel="00000000" w:rsidR="00000000" w:rsidRPr="00000000">
        <w:rPr>
          <w:rFonts w:ascii="Arial" w:cs="Arial" w:eastAsia="Arial" w:hAnsi="Arial"/>
          <w:b w:val="0"/>
          <w:sz w:val="20"/>
          <w:szCs w:val="20"/>
          <w:vertAlign w:val="baseline"/>
          <w:rtl w:val="0"/>
        </w:rPr>
        <w:t xml:space="preserve">DSRC </w:t>
      </w:r>
      <w:r w:rsidDel="00000000" w:rsidR="00000000" w:rsidRPr="00000000">
        <w:rPr>
          <w:sz w:val="20"/>
          <w:szCs w:val="20"/>
          <w:rtl w:val="0"/>
        </w:rPr>
        <w:t xml:space="preserve">p</w:t>
      </w:r>
      <w:r w:rsidDel="00000000" w:rsidR="00000000" w:rsidRPr="00000000">
        <w:rPr>
          <w:rFonts w:ascii="Arial" w:cs="Arial" w:eastAsia="Arial" w:hAnsi="Arial"/>
          <w:b w:val="0"/>
          <w:sz w:val="20"/>
          <w:szCs w:val="20"/>
          <w:vertAlign w:val="baseline"/>
          <w:rtl w:val="0"/>
        </w:rPr>
        <w:t xml:space="preserve">rofilu</w:t>
      </w:r>
      <w:r w:rsidDel="00000000" w:rsidR="00000000" w:rsidRPr="00000000">
        <w:rPr>
          <w:rFonts w:ascii="Arial" w:cs="Arial" w:eastAsia="Arial" w:hAnsi="Arial"/>
          <w:b w:val="0"/>
          <w:sz w:val="20"/>
          <w:szCs w:val="20"/>
          <w:vertAlign w:val="baseline"/>
          <w:rtl w:val="0"/>
        </w:rPr>
        <w:t xml:space="preserve"> a navržených protiopatřeních:</w:t>
      </w:r>
      <w:r w:rsidDel="00000000" w:rsidR="00000000" w:rsidRPr="00000000">
        <w:rPr>
          <w:rtl w:val="0"/>
        </w:rPr>
      </w:r>
    </w:p>
    <w:p w:rsidR="00000000" w:rsidDel="00000000" w:rsidP="00000000" w:rsidRDefault="00000000" w:rsidRPr="00000000">
      <w:pPr>
        <w:widowControl w:val="0"/>
        <w:numPr>
          <w:ilvl w:val="0"/>
          <w:numId w:val="1"/>
        </w:numPr>
        <w:pBdr/>
        <w:tabs>
          <w:tab w:val="left" w:pos="640"/>
        </w:tabs>
        <w:spacing w:after="0" w:before="32" w:line="240" w:lineRule="auto"/>
        <w:ind w:left="720" w:hanging="360"/>
        <w:contextualSpacing w:val="1"/>
        <w:jc w:val="both"/>
        <w:rPr>
          <w:rFonts w:ascii="Arial" w:cs="Arial" w:eastAsia="Arial" w:hAnsi="Arial"/>
          <w:b w:val="0"/>
          <w:sz w:val="20"/>
          <w:szCs w:val="20"/>
          <w:u w:val="none"/>
          <w:vertAlign w:val="baseline"/>
        </w:rPr>
      </w:pPr>
      <w:r w:rsidDel="00000000" w:rsidR="00000000" w:rsidRPr="00000000">
        <w:rPr>
          <w:rFonts w:ascii="Arial" w:cs="Arial" w:eastAsia="Arial" w:hAnsi="Arial"/>
          <w:b w:val="0"/>
          <w:sz w:val="20"/>
          <w:szCs w:val="20"/>
          <w:vertAlign w:val="baseline"/>
          <w:rtl w:val="0"/>
        </w:rPr>
        <w:t xml:space="preserve">Transakce pro navýšení finančního zůstatku OBE</w:t>
      </w:r>
      <w:r w:rsidDel="00000000" w:rsidR="00000000" w:rsidRPr="00000000">
        <w:rPr>
          <w:rFonts w:ascii="Arial" w:cs="Arial" w:eastAsia="Arial" w:hAnsi="Arial"/>
          <w:b w:val="0"/>
          <w:sz w:val="20"/>
          <w:szCs w:val="20"/>
          <w:vertAlign w:val="baseline"/>
          <w:rtl w:val="0"/>
        </w:rPr>
        <w:t xml:space="preserve"> obdržená prostřednictvím RSE obsahuje všechny povinné informace požadavku o platbu (payment claim). Přečtení dat z OBE falešným RSE je možné bez předchozího upozornění uživatele. Proto je vyžadována autentizace RSE.</w:t>
      </w:r>
      <w:r w:rsidDel="00000000" w:rsidR="00000000" w:rsidRPr="00000000">
        <w:rPr>
          <w:rtl w:val="0"/>
        </w:rPr>
      </w:r>
    </w:p>
    <w:p w:rsidR="00000000" w:rsidDel="00000000" w:rsidP="00000000" w:rsidRDefault="00000000" w:rsidRPr="00000000">
      <w:pPr>
        <w:widowControl w:val="0"/>
        <w:numPr>
          <w:ilvl w:val="0"/>
          <w:numId w:val="1"/>
        </w:numPr>
        <w:pBdr/>
        <w:tabs>
          <w:tab w:val="left" w:pos="640"/>
        </w:tabs>
        <w:spacing w:after="0" w:before="32" w:line="240" w:lineRule="auto"/>
        <w:ind w:left="720" w:hanging="360"/>
        <w:contextualSpacing w:val="1"/>
        <w:jc w:val="both"/>
        <w:rPr>
          <w:rFonts w:ascii="Arial" w:cs="Arial" w:eastAsia="Arial" w:hAnsi="Arial"/>
          <w:b w:val="0"/>
          <w:sz w:val="20"/>
          <w:szCs w:val="20"/>
          <w:u w:val="none"/>
          <w:vertAlign w:val="baseline"/>
        </w:rPr>
      </w:pPr>
      <w:r w:rsidDel="00000000" w:rsidR="00000000" w:rsidRPr="00000000">
        <w:rPr>
          <w:rFonts w:ascii="Arial" w:cs="Arial" w:eastAsia="Arial" w:hAnsi="Arial"/>
          <w:b w:val="0"/>
          <w:sz w:val="20"/>
          <w:szCs w:val="20"/>
          <w:vertAlign w:val="baseline"/>
          <w:rtl w:val="0"/>
        </w:rPr>
        <w:t xml:space="preserve">Manipulace s těmito údaji a/nebo přehrávání zaznamenané komunikace z falešného OBE je v zásadě jednoduchá, i když technicky náročná. Proto je vyžadována autentizace OBE i RSE. Je také požadován doklad o integritě zprávy.</w:t>
      </w:r>
      <w:r w:rsidDel="00000000" w:rsidR="00000000" w:rsidRPr="00000000">
        <w:rPr>
          <w:rtl w:val="0"/>
        </w:rPr>
      </w:r>
    </w:p>
    <w:p w:rsidR="00000000" w:rsidDel="00000000" w:rsidP="00000000" w:rsidRDefault="00000000" w:rsidRPr="00000000">
      <w:pPr>
        <w:widowControl w:val="0"/>
        <w:numPr>
          <w:ilvl w:val="0"/>
          <w:numId w:val="1"/>
        </w:numPr>
        <w:pBdr/>
        <w:tabs>
          <w:tab w:val="left" w:pos="640"/>
        </w:tabs>
        <w:spacing w:after="0" w:before="32" w:line="240" w:lineRule="auto"/>
        <w:ind w:left="720" w:hanging="360"/>
        <w:contextualSpacing w:val="1"/>
        <w:jc w:val="both"/>
        <w:rPr>
          <w:rFonts w:ascii="Arial" w:cs="Arial" w:eastAsia="Arial" w:hAnsi="Arial"/>
          <w:b w:val="0"/>
          <w:sz w:val="20"/>
          <w:szCs w:val="20"/>
          <w:u w:val="none"/>
          <w:vertAlign w:val="baseline"/>
        </w:rPr>
      </w:pPr>
      <w:r w:rsidDel="00000000" w:rsidR="00000000" w:rsidRPr="00000000">
        <w:rPr>
          <w:rFonts w:ascii="Arial" w:cs="Arial" w:eastAsia="Arial" w:hAnsi="Arial"/>
          <w:b w:val="0"/>
          <w:sz w:val="20"/>
          <w:szCs w:val="20"/>
          <w:vertAlign w:val="baseline"/>
          <w:rtl w:val="0"/>
        </w:rPr>
        <w:t xml:space="preserve">Uživatel může zapřít použití určitého silničního úseku (účtování nebo CCC). K tomu může využít falešnou LAC zprávu, kterou potvrdí, že daným úsekem neprojel. Podvržení nebo zapření dat bez ochrany je jednoduché. Proto je nutné použít zabezpečení s nepopiratelností a dokladem o původu. </w:t>
      </w:r>
      <w:r w:rsidDel="00000000" w:rsidR="00000000" w:rsidRPr="00000000">
        <w:rPr>
          <w:rtl w:val="0"/>
        </w:rPr>
      </w:r>
    </w:p>
    <w:p w:rsidR="00000000" w:rsidDel="00000000" w:rsidP="00000000" w:rsidRDefault="00000000" w:rsidRPr="00000000">
      <w:pPr>
        <w:widowControl w:val="0"/>
        <w:numPr>
          <w:ilvl w:val="0"/>
          <w:numId w:val="1"/>
        </w:numPr>
        <w:pBdr/>
        <w:tabs>
          <w:tab w:val="left" w:pos="640"/>
        </w:tabs>
        <w:spacing w:after="0" w:before="32" w:line="240" w:lineRule="auto"/>
        <w:ind w:left="720" w:hanging="360"/>
        <w:contextualSpacing w:val="1"/>
        <w:jc w:val="both"/>
        <w:rPr>
          <w:rFonts w:ascii="Arial" w:cs="Arial" w:eastAsia="Arial" w:hAnsi="Arial"/>
          <w:b w:val="0"/>
          <w:sz w:val="20"/>
          <w:szCs w:val="20"/>
          <w:u w:val="none"/>
          <w:vertAlign w:val="baseline"/>
        </w:rPr>
      </w:pPr>
      <w:r w:rsidDel="00000000" w:rsidR="00000000" w:rsidRPr="00000000">
        <w:rPr>
          <w:rFonts w:ascii="Arial" w:cs="Arial" w:eastAsia="Arial" w:hAnsi="Arial"/>
          <w:b w:val="0"/>
          <w:sz w:val="20"/>
          <w:szCs w:val="20"/>
          <w:vertAlign w:val="baseline"/>
          <w:rtl w:val="0"/>
        </w:rPr>
        <w:t xml:space="preserve">Odposlech komunikace je technicky obtížný, protože vyžaduje přítomnost v těsné blízkosti OBE nebo RSE, přitom </w:t>
      </w:r>
      <w:r w:rsidDel="00000000" w:rsidR="00000000" w:rsidRPr="00000000">
        <w:rPr>
          <w:rFonts w:ascii="Arial" w:cs="Arial" w:eastAsia="Arial" w:hAnsi="Arial"/>
          <w:b w:val="0"/>
          <w:sz w:val="20"/>
          <w:szCs w:val="20"/>
          <w:vertAlign w:val="baseline"/>
          <w:rtl w:val="0"/>
        </w:rPr>
        <w:t xml:space="preserve">útočník nezíská nové informace o uživateli, vozidlu nebo RSE, které by nešly získa</w:t>
      </w:r>
      <w:r w:rsidDel="00000000" w:rsidR="00000000" w:rsidRPr="00000000">
        <w:rPr>
          <w:sz w:val="20"/>
          <w:szCs w:val="20"/>
          <w:rtl w:val="0"/>
        </w:rPr>
        <w:t xml:space="preserve">t i jinak</w:t>
      </w:r>
      <w:r w:rsidDel="00000000" w:rsidR="00000000" w:rsidRPr="00000000">
        <w:rPr>
          <w:rFonts w:ascii="Arial" w:cs="Arial" w:eastAsia="Arial" w:hAnsi="Arial"/>
          <w:b w:val="0"/>
          <w:sz w:val="20"/>
          <w:szCs w:val="20"/>
          <w:vertAlign w:val="baseline"/>
          <w:rtl w:val="0"/>
        </w:rPr>
        <w:t xml:space="preserve">. Zabezpečení proto není nutné.</w:t>
      </w:r>
      <w:r w:rsidDel="00000000" w:rsidR="00000000" w:rsidRPr="00000000">
        <w:rPr>
          <w:rFonts w:ascii="Arial" w:cs="Arial" w:eastAsia="Arial" w:hAnsi="Arial"/>
          <w:b w:val="0"/>
          <w:sz w:val="20"/>
          <w:szCs w:val="20"/>
          <w:vertAlign w:val="baseline"/>
          <w:rtl w:val="0"/>
        </w:rPr>
        <w:t xml:space="preserve"> </w:t>
      </w:r>
      <w:r w:rsidDel="00000000" w:rsidR="00000000" w:rsidRPr="00000000">
        <w:rPr>
          <w:rtl w:val="0"/>
        </w:rPr>
      </w:r>
    </w:p>
    <w:p w:rsidR="00000000" w:rsidDel="00000000" w:rsidP="00000000" w:rsidRDefault="00000000" w:rsidRPr="00000000">
      <w:pPr>
        <w:widowControl w:val="0"/>
        <w:pBdr/>
        <w:tabs>
          <w:tab w:val="left" w:pos="640"/>
        </w:tabs>
        <w:spacing w:after="0" w:before="32" w:line="240" w:lineRule="auto"/>
        <w:ind w:left="1587" w:firstLine="0"/>
        <w:contextualSpacing w:val="0"/>
        <w:jc w:val="both"/>
        <w:rPr/>
      </w:pPr>
      <w:r w:rsidDel="00000000" w:rsidR="00000000" w:rsidRPr="00000000">
        <w:rPr>
          <w:rtl w:val="0"/>
        </w:rPr>
      </w:r>
    </w:p>
    <w:p w:rsidR="00000000" w:rsidDel="00000000" w:rsidP="00000000" w:rsidRDefault="00000000" w:rsidRPr="00000000">
      <w:pPr>
        <w:widowControl w:val="0"/>
        <w:pBdr/>
        <w:tabs>
          <w:tab w:val="left" w:pos="640"/>
        </w:tabs>
        <w:spacing w:after="0" w:before="32" w:line="240" w:lineRule="auto"/>
        <w:contextualSpacing w:val="0"/>
        <w:jc w:val="both"/>
        <w:rPr/>
      </w:pPr>
      <w:r w:rsidDel="00000000" w:rsidR="00000000" w:rsidRPr="00000000">
        <w:rPr>
          <w:sz w:val="20"/>
          <w:szCs w:val="20"/>
          <w:rtl w:val="0"/>
        </w:rPr>
        <w:t xml:space="preserve">Z výše uvedených hodnocení rizik a navržených protiopatřeních vychází povinné a doporučované p</w:t>
      </w:r>
      <w:r w:rsidDel="00000000" w:rsidR="00000000" w:rsidRPr="00000000">
        <w:rPr>
          <w:rFonts w:ascii="Arial" w:cs="Arial" w:eastAsia="Arial" w:hAnsi="Arial"/>
          <w:b w:val="0"/>
          <w:sz w:val="20"/>
          <w:szCs w:val="20"/>
          <w:vertAlign w:val="baseline"/>
          <w:rtl w:val="0"/>
        </w:rPr>
        <w:t xml:space="preserve">ožadavky profilu</w:t>
      </w:r>
      <w:r w:rsidDel="00000000" w:rsidR="00000000" w:rsidRPr="00000000">
        <w:rPr>
          <w:sz w:val="20"/>
          <w:szCs w:val="20"/>
          <w:rtl w:val="0"/>
        </w:rPr>
        <w:t xml:space="preserve">, které přímo zmiňují navržené požadavky z tabulky 3:</w:t>
      </w:r>
      <w:r w:rsidDel="00000000" w:rsidR="00000000" w:rsidRPr="00000000">
        <w:rPr>
          <w:rtl w:val="0"/>
        </w:rPr>
      </w:r>
    </w:p>
    <w:p w:rsidR="00000000" w:rsidDel="00000000" w:rsidP="00000000" w:rsidRDefault="00000000" w:rsidRPr="00000000">
      <w:pPr>
        <w:widowControl w:val="0"/>
        <w:pBdr/>
        <w:tabs>
          <w:tab w:val="left" w:pos="640"/>
        </w:tabs>
        <w:spacing w:after="0" w:before="32" w:line="240" w:lineRule="auto"/>
        <w:ind w:left="435" w:firstLine="0"/>
        <w:contextualSpacing w:val="0"/>
        <w:jc w:val="both"/>
        <w:rPr/>
      </w:pPr>
      <w:r w:rsidDel="00000000" w:rsidR="00000000" w:rsidRPr="00000000">
        <w:rPr>
          <w:rFonts w:ascii="Arial" w:cs="Arial" w:eastAsia="Arial" w:hAnsi="Arial"/>
          <w:b w:val="0"/>
          <w:sz w:val="20"/>
          <w:szCs w:val="20"/>
          <w:vertAlign w:val="baseline"/>
          <w:rtl w:val="0"/>
        </w:rPr>
        <w:t xml:space="preserve">Povinné </w:t>
        <w:tab/>
        <w:tab/>
        <w:t xml:space="preserve">RQ.IF.11 + RQ.IF.12 + RQ.IF.13 + RQ.IF.30 </w:t>
      </w:r>
      <w:r w:rsidDel="00000000" w:rsidR="00000000" w:rsidRPr="00000000">
        <w:rPr>
          <w:rtl w:val="0"/>
        </w:rPr>
      </w:r>
    </w:p>
    <w:p w:rsidR="00000000" w:rsidDel="00000000" w:rsidP="00000000" w:rsidRDefault="00000000" w:rsidRPr="00000000">
      <w:pPr>
        <w:widowControl w:val="0"/>
        <w:pBdr/>
        <w:tabs>
          <w:tab w:val="left" w:pos="640"/>
        </w:tabs>
        <w:spacing w:after="0" w:before="32" w:line="240" w:lineRule="auto"/>
        <w:ind w:left="435" w:firstLine="0"/>
        <w:contextualSpacing w:val="0"/>
        <w:jc w:val="both"/>
        <w:rPr/>
      </w:pPr>
      <w:r w:rsidDel="00000000" w:rsidR="00000000" w:rsidRPr="00000000">
        <w:rPr>
          <w:rFonts w:ascii="Arial" w:cs="Arial" w:eastAsia="Arial" w:hAnsi="Arial"/>
          <w:b w:val="0"/>
          <w:sz w:val="20"/>
          <w:szCs w:val="20"/>
          <w:vertAlign w:val="baseline"/>
          <w:rtl w:val="0"/>
        </w:rPr>
        <w:t xml:space="preserve">Doporučené </w:t>
        <w:tab/>
      </w:r>
      <w:r w:rsidDel="00000000" w:rsidR="00000000" w:rsidRPr="00000000">
        <w:rPr>
          <w:sz w:val="20"/>
          <w:szCs w:val="20"/>
          <w:rtl w:val="0"/>
        </w:rPr>
        <w:t xml:space="preserve">(žádné)</w:t>
      </w:r>
      <w:r w:rsidDel="00000000" w:rsidR="00000000" w:rsidRPr="00000000">
        <w:rPr>
          <w:rtl w:val="0"/>
        </w:rPr>
      </w:r>
    </w:p>
    <w:p w:rsidR="00000000" w:rsidDel="00000000" w:rsidP="00000000" w:rsidRDefault="00000000" w:rsidRPr="00000000">
      <w:pPr>
        <w:widowControl w:val="0"/>
        <w:pBdr/>
        <w:tabs>
          <w:tab w:val="left" w:pos="640"/>
        </w:tabs>
        <w:spacing w:after="0" w:before="32"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Fonts w:ascii="Arial" w:cs="Arial" w:eastAsia="Arial" w:hAnsi="Arial"/>
          <w:b w:val="1"/>
          <w:sz w:val="22"/>
          <w:szCs w:val="22"/>
          <w:vertAlign w:val="baseline"/>
          <w:rtl w:val="0"/>
        </w:rPr>
        <w:t xml:space="preserve">7 Bezpečnostní opatření a protiopatření</w:t>
      </w: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Fonts w:ascii="Arial" w:cs="Arial" w:eastAsia="Arial" w:hAnsi="Arial"/>
          <w:b w:val="0"/>
          <w:sz w:val="20"/>
          <w:szCs w:val="20"/>
          <w:vertAlign w:val="baseline"/>
          <w:rtl w:val="0"/>
        </w:rPr>
        <w:t xml:space="preserve">Tato kapitola popisuje doporučená bezpečnostní opatření a protiopatření na základě bezpečnostních požadavků popsaných v kapitole 6. Příklad</w:t>
      </w:r>
      <w:r w:rsidDel="00000000" w:rsidR="00000000" w:rsidRPr="00000000">
        <w:rPr>
          <w:sz w:val="20"/>
          <w:szCs w:val="20"/>
          <w:rtl w:val="0"/>
        </w:rPr>
        <w:t xml:space="preserve"> zápisu je uveden v tabulce 12.</w:t>
      </w: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widowControl w:val="0"/>
        <w:pBdr/>
        <w:tabs>
          <w:tab w:val="left" w:pos="640"/>
        </w:tabs>
        <w:spacing w:after="0" w:before="32" w:line="240" w:lineRule="auto"/>
        <w:contextualSpacing w:val="0"/>
        <w:jc w:val="center"/>
        <w:rPr/>
      </w:pPr>
      <w:r w:rsidDel="00000000" w:rsidR="00000000" w:rsidRPr="00000000">
        <w:rPr>
          <w:rFonts w:ascii="Arial" w:cs="Arial" w:eastAsia="Arial" w:hAnsi="Arial"/>
          <w:b w:val="1"/>
          <w:sz w:val="20"/>
          <w:szCs w:val="20"/>
          <w:vertAlign w:val="baseline"/>
          <w:rtl w:val="0"/>
        </w:rPr>
        <w:t xml:space="preserve">Tabulka 12 — Požadavky na obecné </w:t>
      </w:r>
      <w:r w:rsidDel="00000000" w:rsidR="00000000" w:rsidRPr="00000000">
        <w:rPr>
          <w:rFonts w:ascii="Arial" w:cs="Arial" w:eastAsia="Arial" w:hAnsi="Arial"/>
          <w:b w:val="1"/>
          <w:sz w:val="20"/>
          <w:szCs w:val="20"/>
          <w:vertAlign w:val="baseline"/>
          <w:rtl w:val="0"/>
        </w:rPr>
        <w:t xml:space="preserve">rozhraní</w:t>
      </w:r>
      <w:r w:rsidDel="00000000" w:rsidR="00000000" w:rsidRPr="00000000">
        <w:rPr>
          <w:rtl w:val="0"/>
        </w:rPr>
      </w:r>
    </w:p>
    <w:tbl>
      <w:tblPr>
        <w:tblStyle w:val="Table3"/>
        <w:bidiVisual w:val="0"/>
        <w:tblW w:w="9078.0" w:type="dxa"/>
        <w:jc w:val="left"/>
        <w:tblInd w:w="55.0" w:type="dxa"/>
        <w:tblLayout w:type="fixed"/>
        <w:tblLook w:val="0000"/>
      </w:tblPr>
      <w:tblGrid>
        <w:gridCol w:w="1017"/>
        <w:gridCol w:w="6744"/>
        <w:gridCol w:w="1317"/>
        <w:tblGridChange w:id="0">
          <w:tblGrid>
            <w:gridCol w:w="1017"/>
            <w:gridCol w:w="6744"/>
            <w:gridCol w:w="1317"/>
          </w:tblGrid>
        </w:tblGridChange>
      </w:tblGrid>
      <w:tr>
        <w:tc>
          <w:tcPr>
            <w:tcBorders>
              <w:top w:color="000000" w:space="0" w:sz="4" w:val="single"/>
              <w:left w:color="000000" w:space="0" w:sz="4" w:val="single"/>
              <w:bottom w:color="000000" w:space="0" w:sz="4" w:val="single"/>
            </w:tcBorders>
            <w:vAlign w:val="center"/>
          </w:tcPr>
          <w:p w:rsidR="00000000" w:rsidDel="00000000" w:rsidP="00000000" w:rsidRDefault="00000000" w:rsidRPr="00000000">
            <w:pPr>
              <w:pBdr/>
              <w:spacing w:after="0" w:before="0" w:line="240" w:lineRule="auto"/>
              <w:contextualSpacing w:val="0"/>
              <w:jc w:val="center"/>
              <w:rPr/>
            </w:pPr>
            <w:r w:rsidDel="00000000" w:rsidR="00000000" w:rsidRPr="00000000">
              <w:rPr>
                <w:rFonts w:ascii="Arial" w:cs="Arial" w:eastAsia="Arial" w:hAnsi="Arial"/>
                <w:b w:val="0"/>
                <w:sz w:val="20"/>
                <w:szCs w:val="20"/>
                <w:vertAlign w:val="baseline"/>
                <w:rtl w:val="0"/>
              </w:rPr>
              <w:t xml:space="preserve">Číslo</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pPr>
              <w:pBdr/>
              <w:spacing w:after="0" w:before="0" w:line="240" w:lineRule="auto"/>
              <w:contextualSpacing w:val="0"/>
              <w:jc w:val="center"/>
              <w:rPr/>
            </w:pPr>
            <w:r w:rsidDel="00000000" w:rsidR="00000000" w:rsidRPr="00000000">
              <w:rPr>
                <w:rFonts w:ascii="Arial" w:cs="Arial" w:eastAsia="Arial" w:hAnsi="Arial"/>
                <w:b w:val="0"/>
                <w:sz w:val="20"/>
                <w:szCs w:val="20"/>
                <w:vertAlign w:val="baseline"/>
                <w:rtl w:val="0"/>
              </w:rPr>
              <w:t xml:space="preserve">Bezpečnostní opatření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pBdr/>
              <w:spacing w:after="0" w:before="0" w:line="240" w:lineRule="auto"/>
              <w:contextualSpacing w:val="0"/>
              <w:jc w:val="center"/>
              <w:rPr/>
            </w:pPr>
            <w:r w:rsidDel="00000000" w:rsidR="00000000" w:rsidRPr="00000000">
              <w:rPr>
                <w:rFonts w:ascii="Arial" w:cs="Arial" w:eastAsia="Arial" w:hAnsi="Arial"/>
                <w:b w:val="0"/>
                <w:sz w:val="20"/>
                <w:szCs w:val="20"/>
                <w:vertAlign w:val="baseline"/>
                <w:rtl w:val="0"/>
              </w:rPr>
              <w:t xml:space="preserve">Splňuje požadavek</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SM210</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RSE si vyžádá od OBE výpočet zabezpečení zprávy pomocí DSRC autentizačního kódu zprávy pro výběrčího (MAC_TC) minimálně z položky PaymentMeans, pomocí klíče, který zná výběrčí a poskytovatel mýtné služby.</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RQ.IF.11</w:t>
            </w: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RQ.IF.12</w:t>
            </w: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RQ.TSP.19</w:t>
            </w:r>
            <w:r w:rsidDel="00000000" w:rsidR="00000000" w:rsidRPr="00000000">
              <w:rPr>
                <w:rtl w:val="0"/>
              </w:rPr>
            </w:r>
          </w:p>
        </w:tc>
      </w:tr>
    </w:tbl>
    <w:p w:rsidR="00000000" w:rsidDel="00000000" w:rsidP="00000000" w:rsidRDefault="00000000" w:rsidRPr="00000000">
      <w:pPr>
        <w:pBdr/>
        <w:spacing w:after="120" w:before="0" w:line="240" w:lineRule="auto"/>
        <w:contextualSpacing w:val="0"/>
        <w:jc w:val="both"/>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2"/>
          <w:szCs w:val="22"/>
          <w:vertAlign w:val="baseline"/>
          <w:rtl w:val="0"/>
        </w:rPr>
        <w:t xml:space="preserve">8 Specifikace zabezpečení interoperabilního rozhraní</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Tato část obsahuje detailní technický popis zabezpečení, splňující bezpečnostní opatření definovaná v kapitole 7. Jsou zde popsány typy šifer, délky klíčů a formáty dat, většinou pomocí odkazu na příslušné normy. V případě, že odkazovaná norma připouští více možností, je zde specifikována konkrétní varianta.</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1"/>
          <w:sz w:val="22"/>
          <w:szCs w:val="22"/>
          <w:vertAlign w:val="baseline"/>
          <w:rtl w:val="0"/>
        </w:rPr>
        <w:t xml:space="preserve">9 Správa kryptografických klíčů</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Tato kapitola definuje zásady pro skladování kryptografických klíčů a práci s nimi. Věnuje se nejen asymetrickému šifrování, ale také symetrickým šifrám používaným především u DSRC.</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b w:val="1"/>
        </w:rPr>
      </w:pPr>
      <w:r w:rsidDel="00000000" w:rsidR="00000000" w:rsidRPr="00000000">
        <w:rPr>
          <w:rFonts w:ascii="Arial" w:cs="Arial" w:eastAsia="Arial" w:hAnsi="Arial"/>
          <w:b w:val="1"/>
          <w:sz w:val="22"/>
          <w:szCs w:val="22"/>
          <w:vertAlign w:val="baseline"/>
          <w:rtl w:val="0"/>
        </w:rPr>
        <w:t xml:space="preserve">Příloha A</w:t>
      </w:r>
      <w:r w:rsidDel="00000000" w:rsidR="00000000" w:rsidRPr="00000000">
        <w:rPr>
          <w:rFonts w:ascii="Arial" w:cs="Arial" w:eastAsia="Arial" w:hAnsi="Arial"/>
          <w:b w:val="0"/>
          <w:sz w:val="22"/>
          <w:szCs w:val="22"/>
          <w:vertAlign w:val="baseline"/>
          <w:rtl w:val="0"/>
        </w:rPr>
        <w:t xml:space="preserve"> (normativní) </w:t>
      </w:r>
      <w:r w:rsidDel="00000000" w:rsidR="00000000" w:rsidRPr="00000000">
        <w:rPr>
          <w:rFonts w:ascii="Arial" w:cs="Arial" w:eastAsia="Arial" w:hAnsi="Arial"/>
          <w:b w:val="1"/>
          <w:sz w:val="22"/>
          <w:szCs w:val="22"/>
          <w:vertAlign w:val="baseline"/>
          <w:rtl w:val="0"/>
        </w:rPr>
        <w:t xml:space="preserve">Specifikace datových typů</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Příloha A definuje použité datové typy pomocí ASN.1.</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b w:val="1"/>
        </w:rPr>
      </w:pPr>
      <w:r w:rsidDel="00000000" w:rsidR="00000000" w:rsidRPr="00000000">
        <w:rPr>
          <w:rFonts w:ascii="Arial" w:cs="Arial" w:eastAsia="Arial" w:hAnsi="Arial"/>
          <w:b w:val="1"/>
          <w:sz w:val="22"/>
          <w:szCs w:val="22"/>
          <w:vertAlign w:val="baseline"/>
          <w:rtl w:val="0"/>
        </w:rPr>
        <w:t xml:space="preserve">Příloha B</w:t>
      </w:r>
      <w:r w:rsidDel="00000000" w:rsidR="00000000" w:rsidRPr="00000000">
        <w:rPr>
          <w:rFonts w:ascii="Arial" w:cs="Arial" w:eastAsia="Arial" w:hAnsi="Arial"/>
          <w:b w:val="0"/>
          <w:sz w:val="22"/>
          <w:szCs w:val="22"/>
          <w:vertAlign w:val="baseline"/>
          <w:rtl w:val="0"/>
        </w:rPr>
        <w:t xml:space="preserve"> (normativní)</w:t>
      </w:r>
      <w:r w:rsidDel="00000000" w:rsidR="00000000" w:rsidRPr="00000000">
        <w:rPr>
          <w:rFonts w:ascii="Arial" w:cs="Arial" w:eastAsia="Arial" w:hAnsi="Arial"/>
          <w:b w:val="0"/>
          <w:vertAlign w:val="baseline"/>
          <w:rtl w:val="0"/>
        </w:rPr>
        <w:t xml:space="preserve"> </w:t>
      </w:r>
      <w:r w:rsidDel="00000000" w:rsidR="00000000" w:rsidRPr="00000000">
        <w:rPr>
          <w:rFonts w:ascii="Arial" w:cs="Arial" w:eastAsia="Arial" w:hAnsi="Arial"/>
          <w:b w:val="1"/>
          <w:vertAlign w:val="baseline"/>
          <w:rtl w:val="0"/>
        </w:rPr>
        <w:t xml:space="preserve">Proforma </w:t>
      </w:r>
      <w:r w:rsidDel="00000000" w:rsidR="00000000" w:rsidRPr="00000000">
        <w:rPr>
          <w:b w:val="1"/>
          <w:rtl w:val="0"/>
        </w:rPr>
        <w:t xml:space="preserve">p</w:t>
      </w:r>
      <w:r w:rsidDel="00000000" w:rsidR="00000000" w:rsidRPr="00000000">
        <w:rPr>
          <w:b w:val="1"/>
          <w:rtl w:val="0"/>
        </w:rPr>
        <w:t xml:space="preserve">rohlášení o shodě implementace (ICS)</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Tato příloha obsahuje formulář Prohlášení o shodě implementace (ICS).</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b w:val="1"/>
        </w:rPr>
      </w:pPr>
      <w:r w:rsidDel="00000000" w:rsidR="00000000" w:rsidRPr="00000000">
        <w:rPr>
          <w:rFonts w:ascii="Arial" w:cs="Arial" w:eastAsia="Arial" w:hAnsi="Arial"/>
          <w:b w:val="1"/>
          <w:sz w:val="22"/>
          <w:szCs w:val="22"/>
          <w:vertAlign w:val="baseline"/>
          <w:rtl w:val="0"/>
        </w:rPr>
        <w:t xml:space="preserve">Příloha C</w:t>
      </w:r>
      <w:r w:rsidDel="00000000" w:rsidR="00000000" w:rsidRPr="00000000">
        <w:rPr>
          <w:rFonts w:ascii="Arial" w:cs="Arial" w:eastAsia="Arial" w:hAnsi="Arial"/>
          <w:b w:val="0"/>
          <w:sz w:val="22"/>
          <w:szCs w:val="22"/>
          <w:vertAlign w:val="baseline"/>
          <w:rtl w:val="0"/>
        </w:rPr>
        <w:t xml:space="preserve"> (informativní) </w:t>
      </w:r>
      <w:r w:rsidDel="00000000" w:rsidR="00000000" w:rsidRPr="00000000">
        <w:rPr>
          <w:b w:val="1"/>
          <w:rtl w:val="0"/>
        </w:rPr>
        <w:t xml:space="preserve">Cíle a obecné požadavky zainteresovaných stran</w:t>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Informativní příloha C popisuje obecné požadavky a základní cíle subjektů tvořících EFC systém. Jsou zde popsány obecné požadavky jednotlivých skupin jako například:</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Hlavní zájem uživatelů je 1) být ochráněni proti nesprávnému výběru poplatku, 2) všechny osobní údaje o uživateli, které mýtný systém uchovává, musí být chráněny proti neoprávněnému užití.</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tl w:val="0"/>
        </w:rPr>
      </w:r>
    </w:p>
    <w:p w:rsidR="00000000" w:rsidDel="00000000" w:rsidP="00000000" w:rsidRDefault="00000000" w:rsidRPr="00000000">
      <w:pPr>
        <w:pBdr/>
        <w:spacing w:after="120" w:before="0" w:line="240" w:lineRule="auto"/>
        <w:contextualSpacing w:val="0"/>
        <w:jc w:val="both"/>
        <w:rPr>
          <w:b w:val="1"/>
        </w:rPr>
      </w:pPr>
      <w:r w:rsidDel="00000000" w:rsidR="00000000" w:rsidRPr="00000000">
        <w:rPr>
          <w:rFonts w:ascii="Arial" w:cs="Arial" w:eastAsia="Arial" w:hAnsi="Arial"/>
          <w:b w:val="1"/>
          <w:sz w:val="22"/>
          <w:szCs w:val="22"/>
          <w:vertAlign w:val="baseline"/>
          <w:rtl w:val="0"/>
        </w:rPr>
        <w:t xml:space="preserve">Příloha D</w:t>
      </w:r>
      <w:r w:rsidDel="00000000" w:rsidR="00000000" w:rsidRPr="00000000">
        <w:rPr>
          <w:rFonts w:ascii="Arial" w:cs="Arial" w:eastAsia="Arial" w:hAnsi="Arial"/>
          <w:b w:val="0"/>
          <w:sz w:val="22"/>
          <w:szCs w:val="22"/>
          <w:vertAlign w:val="baseline"/>
          <w:rtl w:val="0"/>
        </w:rPr>
        <w:t xml:space="preserve"> (informativní) </w:t>
      </w:r>
      <w:r w:rsidDel="00000000" w:rsidR="00000000" w:rsidRPr="00000000">
        <w:rPr>
          <w:rFonts w:ascii="Arial" w:cs="Arial" w:eastAsia="Arial" w:hAnsi="Arial"/>
          <w:b w:val="1"/>
          <w:sz w:val="22"/>
          <w:szCs w:val="22"/>
          <w:vertAlign w:val="baseline"/>
          <w:rtl w:val="0"/>
        </w:rPr>
        <w:t xml:space="preserve">Analýza hrozeb</w:t>
      </w:r>
      <w:r w:rsidDel="00000000" w:rsidR="00000000" w:rsidRPr="00000000">
        <w:rPr>
          <w:rtl w:val="0"/>
        </w:rPr>
      </w:r>
    </w:p>
    <w:p w:rsidR="00000000" w:rsidDel="00000000" w:rsidP="00000000" w:rsidRDefault="00000000" w:rsidRPr="00000000">
      <w:pPr>
        <w:pBdr/>
        <w:spacing w:after="120" w:before="0" w:line="240" w:lineRule="auto"/>
        <w:contextualSpacing w:val="0"/>
        <w:jc w:val="both"/>
        <w:rPr/>
      </w:pPr>
      <w:r w:rsidDel="00000000" w:rsidR="00000000" w:rsidRPr="00000000">
        <w:rPr>
          <w:rFonts w:ascii="Arial" w:cs="Arial" w:eastAsia="Arial" w:hAnsi="Arial"/>
          <w:b w:val="0"/>
          <w:sz w:val="20"/>
          <w:szCs w:val="20"/>
          <w:vertAlign w:val="baseline"/>
          <w:rtl w:val="0"/>
        </w:rPr>
        <w:t xml:space="preserve">Tato příloha obsahuje velmi podrobnou analýzu možných hrozeb pro </w:t>
      </w:r>
      <w:r w:rsidDel="00000000" w:rsidR="00000000" w:rsidRPr="00000000">
        <w:rPr>
          <w:rFonts w:ascii="Arial" w:cs="Arial" w:eastAsia="Arial" w:hAnsi="Arial"/>
          <w:b w:val="0"/>
          <w:sz w:val="20"/>
          <w:szCs w:val="20"/>
          <w:vertAlign w:val="baseline"/>
          <w:rtl w:val="0"/>
        </w:rPr>
        <w:t xml:space="preserve">mýtný systém</w:t>
      </w:r>
      <w:r w:rsidDel="00000000" w:rsidR="00000000" w:rsidRPr="00000000">
        <w:rPr>
          <w:rFonts w:ascii="Arial" w:cs="Arial" w:eastAsia="Arial" w:hAnsi="Arial"/>
          <w:b w:val="0"/>
          <w:sz w:val="20"/>
          <w:szCs w:val="20"/>
          <w:vertAlign w:val="baseline"/>
          <w:rtl w:val="0"/>
        </w:rPr>
        <w:t xml:space="preserve">. Hrozby jsou rozděleny podle rozhraní/komponenty na kterou je útok směrován a podle efektu, který má útok přinést.</w:t>
      </w:r>
      <w:r w:rsidDel="00000000" w:rsidR="00000000" w:rsidRPr="00000000">
        <w:rPr>
          <w:rtl w:val="0"/>
        </w:rPr>
      </w:r>
    </w:p>
    <w:p w:rsidR="00000000" w:rsidDel="00000000" w:rsidP="00000000" w:rsidRDefault="00000000" w:rsidRPr="00000000">
      <w:pPr>
        <w:pBdr/>
        <w:spacing w:after="120" w:before="0" w:line="240" w:lineRule="auto"/>
        <w:contextualSpacing w:val="0"/>
        <w:rPr/>
      </w:pPr>
      <w:r w:rsidDel="00000000" w:rsidR="00000000" w:rsidRPr="00000000">
        <w:rPr>
          <w:rtl w:val="0"/>
        </w:rPr>
      </w:r>
    </w:p>
    <w:p w:rsidR="00000000" w:rsidDel="00000000" w:rsidP="00000000" w:rsidRDefault="00000000" w:rsidRPr="00000000">
      <w:pPr>
        <w:pBdr/>
        <w:spacing w:after="120" w:before="0" w:line="240" w:lineRule="auto"/>
        <w:contextualSpacing w:val="0"/>
        <w:jc w:val="left"/>
        <w:rPr>
          <w:b w:val="1"/>
        </w:rPr>
      </w:pPr>
      <w:r w:rsidDel="00000000" w:rsidR="00000000" w:rsidRPr="00000000">
        <w:rPr>
          <w:rFonts w:ascii="Arial" w:cs="Arial" w:eastAsia="Arial" w:hAnsi="Arial"/>
          <w:b w:val="1"/>
          <w:sz w:val="22"/>
          <w:szCs w:val="22"/>
          <w:vertAlign w:val="baseline"/>
          <w:rtl w:val="0"/>
        </w:rPr>
        <w:t xml:space="preserve">Příloha E </w:t>
      </w:r>
      <w:r w:rsidDel="00000000" w:rsidR="00000000" w:rsidRPr="00000000">
        <w:rPr>
          <w:rFonts w:ascii="Arial" w:cs="Arial" w:eastAsia="Arial" w:hAnsi="Arial"/>
          <w:b w:val="0"/>
          <w:sz w:val="22"/>
          <w:szCs w:val="22"/>
          <w:vertAlign w:val="baseline"/>
          <w:rtl w:val="0"/>
        </w:rPr>
        <w:t xml:space="preserve">(informativní) </w:t>
      </w:r>
      <w:r w:rsidDel="00000000" w:rsidR="00000000" w:rsidRPr="00000000">
        <w:rPr>
          <w:rFonts w:ascii="Arial" w:cs="Arial" w:eastAsia="Arial" w:hAnsi="Arial"/>
          <w:b w:val="1"/>
          <w:sz w:val="22"/>
          <w:szCs w:val="22"/>
          <w:vertAlign w:val="baseline"/>
          <w:rtl w:val="0"/>
        </w:rPr>
        <w:t xml:space="preserve">Bezpečností </w:t>
      </w:r>
      <w:r w:rsidDel="00000000" w:rsidR="00000000" w:rsidRPr="00000000">
        <w:rPr>
          <w:b w:val="1"/>
          <w:rtl w:val="0"/>
        </w:rPr>
        <w:t xml:space="preserve">zásady</w:t>
      </w:r>
    </w:p>
    <w:p w:rsidR="00000000" w:rsidDel="00000000" w:rsidP="00000000" w:rsidRDefault="00000000" w:rsidRPr="00000000">
      <w:pPr>
        <w:pBdr/>
        <w:spacing w:after="120" w:before="0" w:line="240" w:lineRule="auto"/>
        <w:contextualSpacing w:val="0"/>
        <w:jc w:val="left"/>
        <w:rPr/>
      </w:pPr>
      <w:r w:rsidDel="00000000" w:rsidR="00000000" w:rsidRPr="00000000">
        <w:rPr>
          <w:rFonts w:ascii="Arial" w:cs="Arial" w:eastAsia="Arial" w:hAnsi="Arial"/>
          <w:b w:val="0"/>
          <w:sz w:val="20"/>
          <w:szCs w:val="20"/>
          <w:vertAlign w:val="baseline"/>
          <w:rtl w:val="0"/>
        </w:rPr>
        <w:t xml:space="preserve">Příloha E definuje bezpečnostní </w:t>
      </w:r>
      <w:r w:rsidDel="00000000" w:rsidR="00000000" w:rsidRPr="00000000">
        <w:rPr>
          <w:sz w:val="20"/>
          <w:szCs w:val="20"/>
          <w:rtl w:val="0"/>
        </w:rPr>
        <w:t xml:space="preserve">zásady</w:t>
      </w:r>
      <w:r w:rsidDel="00000000" w:rsidR="00000000" w:rsidRPr="00000000">
        <w:rPr>
          <w:rFonts w:ascii="Arial" w:cs="Arial" w:eastAsia="Arial" w:hAnsi="Arial"/>
          <w:b w:val="0"/>
          <w:sz w:val="20"/>
          <w:szCs w:val="20"/>
          <w:vertAlign w:val="baseline"/>
          <w:rtl w:val="0"/>
        </w:rPr>
        <w:t xml:space="preserve"> ve formě obecných principů, které lze převzít do vnitrofiremních nařízení. </w:t>
      </w:r>
      <w:r w:rsidDel="00000000" w:rsidR="00000000" w:rsidRPr="00000000">
        <w:rPr>
          <w:rtl w:val="0"/>
        </w:rPr>
      </w:r>
    </w:p>
    <w:p w:rsidR="00000000" w:rsidDel="00000000" w:rsidP="00000000" w:rsidRDefault="00000000" w:rsidRPr="00000000">
      <w:pPr>
        <w:pBdr/>
        <w:spacing w:after="120" w:before="0" w:line="240" w:lineRule="auto"/>
        <w:contextualSpacing w:val="0"/>
        <w:jc w:val="left"/>
        <w:rPr/>
      </w:pPr>
      <w:r w:rsidDel="00000000" w:rsidR="00000000" w:rsidRPr="00000000">
        <w:rPr>
          <w:rFonts w:ascii="Arial" w:cs="Arial" w:eastAsia="Arial" w:hAnsi="Arial"/>
          <w:b w:val="0"/>
          <w:sz w:val="20"/>
          <w:szCs w:val="20"/>
          <w:vertAlign w:val="baseline"/>
          <w:rtl w:val="0"/>
        </w:rPr>
        <w:t xml:space="preserve">Příklad:</w:t>
      </w:r>
      <w:r w:rsidDel="00000000" w:rsidR="00000000" w:rsidRPr="00000000">
        <w:rPr>
          <w:rtl w:val="0"/>
        </w:rPr>
      </w:r>
    </w:p>
    <w:p w:rsidR="00000000" w:rsidDel="00000000" w:rsidP="00000000" w:rsidRDefault="00000000" w:rsidRPr="00000000">
      <w:pPr>
        <w:pBdr/>
        <w:spacing w:after="120" w:before="0" w:line="240" w:lineRule="auto"/>
        <w:contextualSpacing w:val="0"/>
        <w:jc w:val="left"/>
        <w:rPr/>
      </w:pPr>
      <w:r w:rsidDel="00000000" w:rsidR="00000000" w:rsidRPr="00000000">
        <w:rPr>
          <w:rFonts w:ascii="Arial" w:cs="Arial" w:eastAsia="Arial" w:hAnsi="Arial"/>
          <w:b w:val="0"/>
          <w:sz w:val="20"/>
          <w:szCs w:val="20"/>
          <w:vertAlign w:val="baseline"/>
          <w:rtl w:val="0"/>
        </w:rPr>
        <w:t xml:space="preserve">EFC-PS-10</w:t>
        <w:tab/>
        <w:t xml:space="preserve">Nařízení informační bezpečnosti by měla být revidována v pravidelných intervalech nebo při výskytu události související s informační bezpečností.</w:t>
      </w:r>
      <w:r w:rsidDel="00000000" w:rsidR="00000000" w:rsidRPr="00000000">
        <w:rPr>
          <w:rtl w:val="0"/>
        </w:rPr>
      </w:r>
    </w:p>
    <w:p w:rsidR="00000000" w:rsidDel="00000000" w:rsidP="00000000" w:rsidRDefault="00000000" w:rsidRPr="00000000">
      <w:pPr>
        <w:pBdr/>
        <w:spacing w:after="120" w:before="0" w:line="240" w:lineRule="auto"/>
        <w:contextualSpacing w:val="0"/>
        <w:jc w:val="left"/>
        <w:rPr/>
      </w:pPr>
      <w:r w:rsidDel="00000000" w:rsidR="00000000" w:rsidRPr="00000000">
        <w:rPr>
          <w:rtl w:val="0"/>
        </w:rPr>
      </w:r>
    </w:p>
    <w:p w:rsidR="00000000" w:rsidDel="00000000" w:rsidP="00000000" w:rsidRDefault="00000000" w:rsidRPr="00000000">
      <w:pPr>
        <w:pBdr/>
        <w:spacing w:after="120" w:before="0" w:line="240" w:lineRule="auto"/>
        <w:contextualSpacing w:val="0"/>
        <w:jc w:val="left"/>
        <w:rPr>
          <w:b w:val="1"/>
        </w:rPr>
      </w:pPr>
      <w:r w:rsidDel="00000000" w:rsidR="00000000" w:rsidRPr="00000000">
        <w:rPr>
          <w:rFonts w:ascii="Arial" w:cs="Arial" w:eastAsia="Arial" w:hAnsi="Arial"/>
          <w:b w:val="1"/>
          <w:sz w:val="22"/>
          <w:szCs w:val="22"/>
          <w:vertAlign w:val="baseline"/>
          <w:rtl w:val="0"/>
        </w:rPr>
        <w:t xml:space="preserve">Příloha F </w:t>
      </w:r>
      <w:r w:rsidDel="00000000" w:rsidR="00000000" w:rsidRPr="00000000">
        <w:rPr>
          <w:rFonts w:ascii="Arial" w:cs="Arial" w:eastAsia="Arial" w:hAnsi="Arial"/>
          <w:b w:val="0"/>
          <w:sz w:val="22"/>
          <w:szCs w:val="22"/>
          <w:vertAlign w:val="baseline"/>
          <w:rtl w:val="0"/>
        </w:rPr>
        <w:t xml:space="preserve">(informativní) </w:t>
      </w:r>
      <w:r w:rsidDel="00000000" w:rsidR="00000000" w:rsidRPr="00000000">
        <w:rPr>
          <w:rFonts w:ascii="Arial" w:cs="Arial" w:eastAsia="Arial" w:hAnsi="Arial"/>
          <w:b w:val="1"/>
          <w:sz w:val="22"/>
          <w:szCs w:val="22"/>
          <w:vertAlign w:val="baseline"/>
          <w:rtl w:val="0"/>
        </w:rPr>
        <w:t xml:space="preserve">Příklad bezpečnostních zásad pro EETS</w:t>
      </w:r>
      <w:r w:rsidDel="00000000" w:rsidR="00000000" w:rsidRPr="00000000">
        <w:rPr>
          <w:rtl w:val="0"/>
        </w:rPr>
      </w:r>
    </w:p>
    <w:p w:rsidR="00000000" w:rsidDel="00000000" w:rsidP="00000000" w:rsidRDefault="00000000" w:rsidRPr="00000000">
      <w:pPr>
        <w:pBdr/>
        <w:spacing w:after="120" w:before="0" w:line="240" w:lineRule="auto"/>
        <w:contextualSpacing w:val="0"/>
        <w:jc w:val="left"/>
        <w:rPr/>
      </w:pPr>
      <w:r w:rsidDel="00000000" w:rsidR="00000000" w:rsidRPr="00000000">
        <w:rPr>
          <w:rFonts w:ascii="Arial" w:cs="Arial" w:eastAsia="Arial" w:hAnsi="Arial"/>
          <w:b w:val="0"/>
          <w:sz w:val="20"/>
          <w:szCs w:val="20"/>
          <w:vertAlign w:val="baseline"/>
          <w:rtl w:val="0"/>
        </w:rPr>
        <w:t xml:space="preserve">Příloha F obsahuje příklad bezpečnostních </w:t>
      </w:r>
      <w:r w:rsidDel="00000000" w:rsidR="00000000" w:rsidRPr="00000000">
        <w:rPr>
          <w:sz w:val="20"/>
          <w:szCs w:val="20"/>
          <w:rtl w:val="0"/>
        </w:rPr>
        <w:t xml:space="preserve">zásad pro</w:t>
      </w:r>
      <w:r w:rsidDel="00000000" w:rsidR="00000000" w:rsidRPr="00000000">
        <w:rPr>
          <w:rFonts w:ascii="Arial" w:cs="Arial" w:eastAsia="Arial" w:hAnsi="Arial"/>
          <w:b w:val="0"/>
          <w:sz w:val="20"/>
          <w:szCs w:val="20"/>
          <w:vertAlign w:val="baseline"/>
          <w:rtl w:val="0"/>
        </w:rPr>
        <w:t xml:space="preserve"> EETS. V této krátké příloze jsou uvedeny </w:t>
      </w:r>
      <w:r w:rsidDel="00000000" w:rsidR="00000000" w:rsidRPr="00000000">
        <w:rPr>
          <w:sz w:val="20"/>
          <w:szCs w:val="20"/>
          <w:rtl w:val="0"/>
        </w:rPr>
        <w:t xml:space="preserve">odkazy na bezpečnostní zásady</w:t>
      </w:r>
      <w:r w:rsidDel="00000000" w:rsidR="00000000" w:rsidRPr="00000000">
        <w:rPr>
          <w:rFonts w:ascii="Arial" w:cs="Arial" w:eastAsia="Arial" w:hAnsi="Arial"/>
          <w:b w:val="0"/>
          <w:sz w:val="20"/>
          <w:szCs w:val="20"/>
          <w:vertAlign w:val="baseline"/>
          <w:rtl w:val="0"/>
        </w:rPr>
        <w:t xml:space="preserve"> z přílohy E s dodatkem konkrétních dokumentů, které dané bezpečnostní </w:t>
      </w:r>
      <w:r w:rsidDel="00000000" w:rsidR="00000000" w:rsidRPr="00000000">
        <w:rPr>
          <w:sz w:val="20"/>
          <w:szCs w:val="20"/>
          <w:rtl w:val="0"/>
        </w:rPr>
        <w:t xml:space="preserve">zásady</w:t>
      </w:r>
      <w:r w:rsidDel="00000000" w:rsidR="00000000" w:rsidRPr="00000000">
        <w:rPr>
          <w:rFonts w:ascii="Arial" w:cs="Arial" w:eastAsia="Arial" w:hAnsi="Arial"/>
          <w:b w:val="0"/>
          <w:sz w:val="20"/>
          <w:szCs w:val="20"/>
          <w:vertAlign w:val="baseline"/>
          <w:rtl w:val="0"/>
        </w:rPr>
        <w:t xml:space="preserve"> v rámci EETS naplňují.</w:t>
      </w:r>
      <w:r w:rsidDel="00000000" w:rsidR="00000000" w:rsidRPr="00000000">
        <w:rPr>
          <w:rtl w:val="0"/>
        </w:rPr>
      </w:r>
    </w:p>
    <w:p w:rsidR="00000000" w:rsidDel="00000000" w:rsidP="00000000" w:rsidRDefault="00000000" w:rsidRPr="00000000">
      <w:pPr>
        <w:pBdr/>
        <w:spacing w:after="120" w:before="0" w:line="240" w:lineRule="auto"/>
        <w:contextualSpacing w:val="0"/>
        <w:jc w:val="left"/>
        <w:rPr/>
      </w:pPr>
      <w:r w:rsidDel="00000000" w:rsidR="00000000" w:rsidRPr="00000000">
        <w:rPr>
          <w:rtl w:val="0"/>
        </w:rPr>
      </w:r>
    </w:p>
    <w:p w:rsidR="00000000" w:rsidDel="00000000" w:rsidP="00000000" w:rsidRDefault="00000000" w:rsidRPr="00000000">
      <w:pPr>
        <w:pBdr/>
        <w:spacing w:after="120" w:before="0" w:line="240" w:lineRule="auto"/>
        <w:contextualSpacing w:val="0"/>
        <w:jc w:val="left"/>
        <w:rPr>
          <w:b w:val="1"/>
        </w:rPr>
      </w:pPr>
      <w:r w:rsidDel="00000000" w:rsidR="00000000" w:rsidRPr="00000000">
        <w:rPr>
          <w:rFonts w:ascii="Arial" w:cs="Arial" w:eastAsia="Arial" w:hAnsi="Arial"/>
          <w:b w:val="1"/>
          <w:sz w:val="22"/>
          <w:szCs w:val="22"/>
          <w:vertAlign w:val="baseline"/>
          <w:rtl w:val="0"/>
        </w:rPr>
        <w:t xml:space="preserve">Příloha G</w:t>
      </w:r>
      <w:r w:rsidDel="00000000" w:rsidR="00000000" w:rsidRPr="00000000">
        <w:rPr>
          <w:rFonts w:ascii="Arial" w:cs="Arial" w:eastAsia="Arial" w:hAnsi="Arial"/>
          <w:b w:val="0"/>
          <w:sz w:val="22"/>
          <w:szCs w:val="22"/>
          <w:vertAlign w:val="baseline"/>
          <w:rtl w:val="0"/>
        </w:rPr>
        <w:t xml:space="preserve"> (informativní)</w:t>
      </w:r>
      <w:r w:rsidDel="00000000" w:rsidR="00000000" w:rsidRPr="00000000">
        <w:rPr>
          <w:rFonts w:ascii="Arial" w:cs="Arial" w:eastAsia="Arial" w:hAnsi="Arial"/>
          <w:b w:val="0"/>
          <w:sz w:val="22"/>
          <w:szCs w:val="22"/>
          <w:vertAlign w:val="baseline"/>
          <w:rtl w:val="0"/>
        </w:rPr>
        <w:t xml:space="preserve"> </w:t>
      </w:r>
      <w:r w:rsidDel="00000000" w:rsidR="00000000" w:rsidRPr="00000000">
        <w:rPr>
          <w:rFonts w:ascii="Arial" w:cs="Arial" w:eastAsia="Arial" w:hAnsi="Arial"/>
          <w:b w:val="1"/>
          <w:sz w:val="22"/>
          <w:szCs w:val="22"/>
          <w:vertAlign w:val="baseline"/>
          <w:rtl w:val="0"/>
        </w:rPr>
        <w:t xml:space="preserve">Požadavky na </w:t>
      </w:r>
      <w:r w:rsidDel="00000000" w:rsidR="00000000" w:rsidRPr="00000000">
        <w:rPr>
          <w:b w:val="1"/>
          <w:rtl w:val="0"/>
        </w:rPr>
        <w:t xml:space="preserve">ochranu soukromí</w:t>
      </w:r>
    </w:p>
    <w:p w:rsidR="00000000" w:rsidDel="00000000" w:rsidP="00000000" w:rsidRDefault="00000000" w:rsidRPr="00000000">
      <w:pPr>
        <w:pBdr/>
        <w:spacing w:after="120" w:before="0" w:line="240" w:lineRule="auto"/>
        <w:contextualSpacing w:val="0"/>
        <w:jc w:val="left"/>
        <w:rPr/>
      </w:pPr>
      <w:r w:rsidDel="00000000" w:rsidR="00000000" w:rsidRPr="00000000">
        <w:rPr>
          <w:rFonts w:ascii="Arial" w:cs="Arial" w:eastAsia="Arial" w:hAnsi="Arial"/>
          <w:b w:val="0"/>
          <w:sz w:val="20"/>
          <w:szCs w:val="20"/>
          <w:vertAlign w:val="baseline"/>
          <w:rtl w:val="0"/>
        </w:rPr>
        <w:t xml:space="preserve">Příloha G obsahuje základní principy návrhu EFC systému se zaměřením na ochranu soukromí.</w:t>
      </w:r>
      <w:r w:rsidDel="00000000" w:rsidR="00000000" w:rsidRPr="00000000">
        <w:rPr>
          <w:rFonts w:ascii="Arial" w:cs="Arial" w:eastAsia="Arial" w:hAnsi="Arial"/>
          <w:b w:val="0"/>
          <w:sz w:val="20"/>
          <w:szCs w:val="20"/>
          <w:vertAlign w:val="baseline"/>
          <w:rtl w:val="0"/>
        </w:rPr>
        <w:t xml:space="preserve"> Jsou zde </w:t>
      </w:r>
      <w:r w:rsidDel="00000000" w:rsidR="00000000" w:rsidRPr="00000000">
        <w:rPr>
          <w:sz w:val="20"/>
          <w:szCs w:val="20"/>
          <w:rtl w:val="0"/>
        </w:rPr>
        <w:t xml:space="preserve">uvedeny </w:t>
      </w:r>
      <w:r w:rsidDel="00000000" w:rsidR="00000000" w:rsidRPr="00000000">
        <w:rPr>
          <w:rFonts w:ascii="Arial" w:cs="Arial" w:eastAsia="Arial" w:hAnsi="Arial"/>
          <w:b w:val="0"/>
          <w:sz w:val="20"/>
          <w:szCs w:val="20"/>
          <w:vertAlign w:val="baseline"/>
          <w:rtl w:val="0"/>
        </w:rPr>
        <w:t xml:space="preserve">konkrétní dokumenty, např. směrnice EU 95/46/EC, a zásady které z těchto dokumentů vyplývají.</w:t>
      </w:r>
      <w:r w:rsidDel="00000000" w:rsidR="00000000" w:rsidRPr="00000000">
        <w:rPr>
          <w:rtl w:val="0"/>
        </w:rPr>
      </w:r>
    </w:p>
    <w:sectPr>
      <w:footerReference r:id="rId5" w:type="default"/>
      <w:pgSz w:h="16838" w:w="11906"/>
      <w:pgMar w:bottom="1417" w:top="1417" w:left="1417" w:right="1417"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r w:rsidDel="00000000" w:rsidR="00000000" w:rsidRPr="00000000">
      <mc:AlternateContent>
        <mc:Choice Requires="wpg">
          <w:drawing>
            <wp:anchor allowOverlap="1" behindDoc="1" distB="0" distT="0" distL="0" distR="0" hidden="0" layoutInCell="0" locked="0" relativeHeight="0" simplePos="0">
              <wp:simplePos x="0" y="0"/>
              <wp:positionH relativeFrom="margin">
                <wp:posOffset>2832100</wp:posOffset>
              </wp:positionH>
              <wp:positionV relativeFrom="paragraph">
                <wp:posOffset>0</wp:posOffset>
              </wp:positionV>
              <wp:extent cx="76200" cy="152400"/>
              <wp:effectExtent b="0" l="0" r="0" t="0"/>
              <wp:wrapSquare wrapText="bothSides" distB="0" distT="0" distL="0" distR="0"/>
              <wp:docPr id="1" name=""/>
              <a:graphic>
                <a:graphicData uri="http://schemas.microsoft.com/office/word/2010/wordprocessingShape">
                  <wps:wsp>
                    <wps:cNvSpPr/>
                    <wps:cNvPr id="2" name="Shape 2"/>
                    <wps:spPr>
                      <a:xfrm>
                        <a:off x="5310757" y="3707292"/>
                        <a:ext cx="70484" cy="14541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PAGE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ctr" bIns="91425" lIns="91425" rIns="91425" tIns="91425"/>
                  </wps:wsp>
                </a:graphicData>
              </a:graphic>
            </wp:anchor>
          </w:drawing>
        </mc:Choice>
        <mc:Fallback>
          <w:drawing>
            <wp:anchor allowOverlap="1" behindDoc="0" distB="0" distT="0" distL="0" distR="0" hidden="0" layoutInCell="0" locked="0" relativeHeight="0" simplePos="0">
              <wp:simplePos x="0" y="0"/>
              <wp:positionH relativeFrom="margin">
                <wp:posOffset>2832100</wp:posOffset>
              </wp:positionH>
              <wp:positionV relativeFrom="paragraph">
                <wp:posOffset>0</wp:posOffset>
              </wp:positionV>
              <wp:extent cx="76200" cy="15240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6200" cy="1524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80" w:lineRule="auto"/>
      <w:contextualSpacing w:val="1"/>
    </w:pPr>
    <w:rPr>
      <w:b w:val="1"/>
      <w:sz w:val="48"/>
      <w:szCs w:val="48"/>
    </w:rPr>
  </w:style>
  <w:style w:type="paragraph" w:styleId="Heading2">
    <w:name w:val="heading 2"/>
    <w:basedOn w:val="Normal"/>
    <w:next w:val="Normal"/>
    <w:pPr>
      <w:keepNext w:val="1"/>
      <w:keepLines w:val="1"/>
      <w:pBdr/>
      <w:spacing w:after="80" w:before="360" w:lineRule="auto"/>
      <w:contextualSpacing w:val="1"/>
    </w:pPr>
    <w:rPr>
      <w:b w:val="1"/>
      <w:sz w:val="36"/>
      <w:szCs w:val="36"/>
    </w:rPr>
  </w:style>
  <w:style w:type="paragraph" w:styleId="Heading3">
    <w:name w:val="heading 3"/>
    <w:basedOn w:val="Normal"/>
    <w:next w:val="Normal"/>
    <w:pPr>
      <w:keepNext w:val="1"/>
      <w:keepLines w:val="1"/>
      <w:pBdr/>
      <w:spacing w:after="80" w:before="280" w:lineRule="auto"/>
      <w:contextualSpacing w:val="1"/>
    </w:pPr>
    <w:rPr>
      <w:b w:val="1"/>
      <w:sz w:val="28"/>
      <w:szCs w:val="28"/>
    </w:rPr>
  </w:style>
  <w:style w:type="paragraph" w:styleId="Heading4">
    <w:name w:val="heading 4"/>
    <w:basedOn w:val="Normal"/>
    <w:next w:val="Normal"/>
    <w:pPr>
      <w:keepNext w:val="1"/>
      <w:keepLines w:val="1"/>
      <w:pBdr/>
      <w:spacing w:after="40" w:before="240" w:lineRule="auto"/>
      <w:contextualSpacing w:val="1"/>
    </w:pPr>
    <w:rPr>
      <w:b w:val="1"/>
      <w:sz w:val="24"/>
      <w:szCs w:val="24"/>
    </w:rPr>
  </w:style>
  <w:style w:type="paragraph" w:styleId="Heading5">
    <w:name w:val="heading 5"/>
    <w:basedOn w:val="Normal"/>
    <w:next w:val="Normal"/>
    <w:pPr>
      <w:keepNext w:val="1"/>
      <w:keepLines w:val="1"/>
      <w:pBdr/>
      <w:spacing w:after="40" w:before="220" w:lineRule="auto"/>
      <w:contextualSpacing w:val="1"/>
    </w:pPr>
    <w:rPr>
      <w:b w:val="1"/>
      <w:sz w:val="22"/>
      <w:szCs w:val="22"/>
    </w:rPr>
  </w:style>
  <w:style w:type="paragraph" w:styleId="Heading6">
    <w:name w:val="heading 6"/>
    <w:basedOn w:val="Normal"/>
    <w:next w:val="Normal"/>
    <w:pPr>
      <w:keepNext w:val="1"/>
      <w:keepLines w:val="1"/>
      <w:pBdr/>
      <w:spacing w:after="40" w:before="200" w:lineRule="auto"/>
      <w:contextualSpacing w:val="1"/>
    </w:pPr>
    <w:rPr>
      <w:b w:val="1"/>
      <w:sz w:val="20"/>
      <w:szCs w:val="20"/>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55.0" w:type="dxa"/>
        <w:left w:w="55.0" w:type="dxa"/>
        <w:bottom w:w="55.0" w:type="dxa"/>
        <w:right w:w="5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55.0" w:type="dxa"/>
        <w:left w:w="55.0" w:type="dxa"/>
        <w:bottom w:w="55.0" w:type="dxa"/>
        <w:right w:w="5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