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mezinárodní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(EFC)– </w:t>
              <w:br w:type="textWrapping"/>
              <w:t xml:space="preserve">Posouzení shody zařízení ISO/TS 17575-4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ČSN</w:t>
              <w:br w:type="textWrapping"/>
              <w:t xml:space="preserve">ISO/TS 16403-2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>01 8385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18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definuje procesy a </w:t>
      </w:r>
      <w:r w:rsidDel="00000000" w:rsidR="00000000" w:rsidRPr="00000000">
        <w:rPr>
          <w:b w:val="1"/>
          <w:vertAlign w:val="baseline"/>
          <w:rtl w:val="0"/>
        </w:rPr>
        <w:t xml:space="preserve">zkušební </w:t>
      </w:r>
      <w:r w:rsidDel="00000000" w:rsidR="00000000" w:rsidRPr="00000000">
        <w:rPr>
          <w:b w:val="1"/>
          <w:rtl w:val="0"/>
        </w:rPr>
        <w:t xml:space="preserve">testy</w:t>
      </w:r>
      <w:r w:rsidDel="00000000" w:rsidR="00000000" w:rsidRPr="00000000">
        <w:rPr>
          <w:b w:val="1"/>
          <w:vertAlign w:val="baseline"/>
          <w:rtl w:val="0"/>
        </w:rPr>
        <w:t xml:space="preserve"> pro kontrolu a </w:t>
      </w:r>
      <w:r w:rsidDel="00000000" w:rsidR="00000000" w:rsidRPr="00000000">
        <w:rPr>
          <w:b w:val="1"/>
          <w:vertAlign w:val="baseline"/>
          <w:rtl w:val="0"/>
        </w:rPr>
        <w:t xml:space="preserve">hodnocení shody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b w:val="1"/>
          <w:vertAlign w:val="baseline"/>
          <w:rtl w:val="0"/>
        </w:rPr>
        <w:t xml:space="preserve">koncového zařízení </w:t>
      </w:r>
      <w:r w:rsidDel="00000000" w:rsidR="00000000" w:rsidRPr="00000000">
        <w:rPr>
          <w:b w:val="1"/>
          <w:rtl w:val="0"/>
        </w:rPr>
        <w:t xml:space="preserve">(tzv. front end, FE)</w:t>
      </w:r>
      <w:r w:rsidDel="00000000" w:rsidR="00000000" w:rsidRPr="00000000">
        <w:rPr>
          <w:b w:val="1"/>
          <w:vertAlign w:val="baseline"/>
          <w:rtl w:val="0"/>
        </w:rPr>
        <w:t xml:space="preserve"> a centrálního systému </w:t>
      </w:r>
      <w:r w:rsidDel="00000000" w:rsidR="00000000" w:rsidRPr="00000000">
        <w:rPr>
          <w:b w:val="1"/>
          <w:rtl w:val="0"/>
        </w:rPr>
        <w:t xml:space="preserve">(tzv. back end, BE)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b w:val="1"/>
          <w:vertAlign w:val="baseline"/>
          <w:rtl w:val="0"/>
        </w:rPr>
        <w:t xml:space="preserve">s normou ISO/TS 17575-4. </w:t>
      </w:r>
      <w:r w:rsidDel="00000000" w:rsidR="00000000" w:rsidRPr="00000000">
        <w:rPr>
          <w:vertAlign w:val="baseline"/>
          <w:rtl w:val="0"/>
        </w:rPr>
        <w:t xml:space="preserve">Norma 16403 se skládá z následujících částí: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Část 1: Struktura a účel sady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Část 2: Abstraktní sestava zkoušek (tento extrakt se týká této části)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Ú</w:t>
      </w:r>
      <w:r w:rsidDel="00000000" w:rsidR="00000000" w:rsidRPr="00000000">
        <w:rPr>
          <w:vertAlign w:val="baseline"/>
          <w:rtl w:val="0"/>
        </w:rPr>
        <w:t xml:space="preserve">čelem normy 16403 je zejména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Ohodnocení možností a chování koncového zařízení a centrálního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Návod pro kontrolu shody a schválení specifického typu zařízení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norma je určena zejména pro výrobce zařízení jichž se tato norma týká (koncové zařízení a centrální systém). Poskytuje nástroj k ověření shody těchto zařízení s odpovídající normou (t.j. ISO/TS 17575-4). Mimo výrobců zařízení může tato norma poskytnout užitečné informace také provozovatelům či subjektům pro výběr mýtného.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 Souvisící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/TS 16403-1:2012 zavedena v ČSN P CEN ISO/TS 16403-1:2012 (01 8385) Elektronický výběr poplatků (EFC) – Posouzení shody zařízení s 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0"/>
          <w:szCs w:val="20"/>
          <w:vertAlign w:val="baseline"/>
          <w:rtl w:val="0"/>
        </w:rPr>
        <w:t xml:space="preserve">ISO/TS 17575-4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– Část 1: Struktura zkušební sestavy a cíle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17575-1:2010 zavedena v ČSN P CEN ISO/TS 17575-1:2010 (01 8385) Elektronický výběr poplatků (EFC) – Definice aplikačního rozhraní pro autonomní systémy – Část 1: Zpoplatňování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17575-2:2010 zavedena v ČSN P CEN ISO/TS 17575-2:2011 (01 8385) Elektronický výběr poplatků (EFC) – Definice aplikačního rozhraní pro autonomní systémy – Část 2: Komunikace a propojení s nižšími vrstvami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17575-3 zavedena v ČSN P CEN ISO/TS 17575-3 (01 8385) Elektronický výběr poplatků (EFC) – Definice aplikačního rozhraní pro autonomní systémy – Část 3: Kontextová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17575-4 zavedena v ČSN P CEN ISO/TS 17575-4 (01 8385) Elektronický výběr poplatků (EFC) – Definice aplikačního rozhraní pro autonomní systémy – Část 4: Roaming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1 Předmět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norma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definuje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principy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 </w:t>
      </w:r>
      <w:r w:rsidDel="00000000" w:rsidR="00000000" w:rsidRPr="00000000">
        <w:rPr>
          <w:rtl w:val="0"/>
        </w:rPr>
        <w:t xml:space="preserve">posuzování shody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koncového zařízení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centrálního systému v rámci systému elektronického mýta, založeném na použití autonomní OBE. Tyto </w:t>
      </w:r>
      <w:r w:rsidDel="00000000" w:rsidR="00000000" w:rsidRPr="00000000">
        <w:rPr>
          <w:rtl w:val="0"/>
        </w:rPr>
        <w:t xml:space="preserve">principy posuzování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shodu zajišťují vzájemnou interoperabilitu různých zařízení pocházejících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obsahuje abstraktní sestavu zkoušek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(přímo odvozených od ISO/TS 16403-1) pro </w:t>
      </w:r>
      <w:commentRangeStart w:id="0"/>
      <w:commentRangeStart w:id="1"/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kontrolu shody s normou ISO/TS 17575-4.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right" w:pos="9923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76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Termíny a </w:t>
      </w:r>
      <w:commentRangeStart w:id="2"/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definice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</w:t>
      </w:r>
      <w:r w:rsidDel="00000000" w:rsidR="00000000" w:rsidRPr="00000000">
        <w:rPr>
          <w:rtl w:val="0"/>
        </w:rPr>
        <w:t xml:space="preserve">uje 7 termín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ů a definic souvisejících s touto normou.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Klíčové termíny: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3.1.1</w:t>
        <w:br w:type="textWrapping"/>
        <w:t xml:space="preserve">centrální systém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ack </w:t>
      </w:r>
      <w:r w:rsidDel="00000000" w:rsidR="00000000" w:rsidRPr="00000000">
        <w:rPr>
          <w:i w:val="1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nd)</w:t>
        <w:tab/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BE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obecný název pro výpočetní a komunikační zařízení poskytovatele služby a/nebo výběrčího mýtného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[ISO/TS 17575-4:2011, definice 3.4]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3.1.2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ab/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zkoušení shody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(conformance testing)</w:t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zkoušení rozsahu, do jakého je implementace IUT ve shodě se specifikací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3.1.4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highlight w:val="yellow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koncové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ront </w:t>
      </w:r>
      <w:r w:rsidDel="00000000" w:rsidR="00000000" w:rsidRPr="00000000">
        <w:rPr>
          <w:i w:val="1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nd)</w:t>
        <w:tab/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FE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br w:type="textWrapping"/>
        <w:t xml:space="preserve">část(i) systému mýtného, kde se data použití </w:t>
      </w:r>
      <w:r w:rsidDel="00000000" w:rsidR="00000000" w:rsidRPr="00000000">
        <w:rPr>
          <w:rtl w:val="0"/>
        </w:rPr>
        <w:t xml:space="preserve">silniční infrastruktury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jednotlivého uživatele sbírají, zpracovávají a zasílají do centrálního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1 Koncové zařízení se skládá z palubního zařízení a nepovinné proxy.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3.1.5</w:t>
        <w:br w:type="textWrapping"/>
        <w:t xml:space="preserve">zkoušená implementace; testovaná implementace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(implementation under test)</w:t>
        <w:tab/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IUT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implementace jednoho nebo více protokolů OSI ve vztahu sousedního uživatele/poskytovatele, která je tou částí reálného otevřeného systému, jež má být studována zkoušením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3.1.6</w:t>
        <w:br w:type="textWrapping"/>
        <w:t xml:space="preserve">zkoušený systém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(system under test)</w:t>
        <w:tab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br w:type="textWrapping"/>
        <w:t xml:space="preserve">SUT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reálný otevřený systém, do kterého náleží implementace IUT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3.1.7</w:t>
        <w:br w:type="textWrapping"/>
        <w:t xml:space="preserve">případ zkoušení; testovací případ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(test case)</w:t>
        <w:tab/>
        <w:br w:type="textWrapping"/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TC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abstraktní nebo </w:t>
      </w:r>
      <w:r w:rsidDel="00000000" w:rsidR="00000000" w:rsidRPr="00000000">
        <w:rPr>
          <w:rtl w:val="0"/>
        </w:rPr>
        <w:t xml:space="preserve">konkrétní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testovací případ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10 zkratek: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ADU</w:t>
        <w:tab/>
        <w:t xml:space="preserve">datová jednotka aplikační vrstvy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(Application data unit)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ASN.1</w:t>
        <w:tab/>
        <w:t xml:space="preserve">abstraktní syntaxe způsobu zápisu jedna (viz ISO/IEC 8824-1)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(Abstract Syntax Notation One (see </w:t>
        <w:tab/>
        <w:t xml:space="preserve">ISO/IEC 8824-1))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ATM</w:t>
        <w:tab/>
        <w:t xml:space="preserve">metoda abstraktních zkoušek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(Abstract test method)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ATS</w:t>
        <w:tab/>
        <w:t xml:space="preserve">abstraktní sestava zkoušek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(Abstract test suite)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DUT</w:t>
        <w:tab/>
        <w:t xml:space="preserve">zkoušená jednotka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(Device under test)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color w:val="000000"/>
          <w:sz w:val="20"/>
          <w:szCs w:val="20"/>
          <w:vertAlign w:val="baseline"/>
          <w:rtl w:val="0"/>
        </w:rPr>
        <w:t xml:space="preserve">EUT</w:t>
        <w:tab/>
        <w:t xml:space="preserve">zkoušené zařízení </w:t>
      </w:r>
      <w:r w:rsidDel="00000000" w:rsidR="00000000" w:rsidRPr="00000000">
        <w:rPr>
          <w:rFonts w:ascii="Arial" w:cs="Arial" w:eastAsia="Arial" w:hAnsi="Arial"/>
          <w:b w:val="0"/>
          <w:i w:val="1"/>
          <w:color w:val="000000"/>
          <w:sz w:val="20"/>
          <w:szCs w:val="20"/>
          <w:vertAlign w:val="baseline"/>
          <w:rtl w:val="0"/>
        </w:rPr>
        <w:t xml:space="preserve">(Equipment under test)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pco</w:t>
        <w:tab/>
      </w:r>
      <w:r w:rsidDel="00000000" w:rsidR="00000000" w:rsidRPr="00000000">
        <w:rPr>
          <w:rtl w:val="0"/>
        </w:rPr>
        <w:t xml:space="preserve">řídící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pozorovací bod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(Point of control and observation)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05" w:hanging="705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PIXIT</w:t>
        <w:tab/>
        <w:t xml:space="preserve">dodatečné informace o zkoušení implementace protokolu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(Protocol Implementation Extra Information for Testing)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SAP</w:t>
        <w:tab/>
        <w:t xml:space="preserve">přístupový bod služby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(Service access point)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TP</w:t>
        <w:tab/>
        <w:t xml:space="preserve">cíl zkoušky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(Test purpose)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5 </w:t>
      </w:r>
      <w:commentRangeStart w:id="3"/>
      <w:commentRangeStart w:id="4"/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Metoda abstraktní zkoušky</w:t>
      </w:r>
      <w:commentRangeEnd w:id="3"/>
      <w:r w:rsidDel="00000000" w:rsidR="00000000" w:rsidRPr="00000000">
        <w:commentReference w:id="3"/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abstraktní metodu zkoušky, jež lze použít pro testy komunikačních vrstev na straně koncového zařízení a na straně centrálního systému. Mimo jiné prezentuje rovněž architekturu zkoušky, zahrnující testera, komunikační vrstvy a systém jež je subjektem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6 </w:t>
      </w:r>
      <w:commentRangeStart w:id="5"/>
      <w:commentRangeStart w:id="6"/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Netestovatelné cíle zkoušek</w:t>
      </w:r>
      <w:commentRangeEnd w:id="5"/>
      <w:r w:rsidDel="00000000" w:rsidR="00000000" w:rsidRPr="00000000">
        <w:commentReference w:id="5"/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identifikuje cíle zkoušek, jež nejsou implementovány ve struktuře ATM.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7 </w:t>
      </w:r>
      <w:commentRangeStart w:id="7"/>
      <w:commentRangeStart w:id="8"/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Datové struktury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sestav</w:t>
      </w:r>
      <w:commentRangeEnd w:id="7"/>
      <w:r w:rsidDel="00000000" w:rsidR="00000000" w:rsidRPr="00000000">
        <w:commentReference w:id="7"/>
      </w:r>
      <w:commentRangeEnd w:id="8"/>
      <w:r w:rsidDel="00000000" w:rsidR="00000000" w:rsidRPr="00000000">
        <w:commentReference w:id="8"/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 </w:t>
      </w:r>
      <w:r w:rsidDel="00000000" w:rsidR="00000000" w:rsidRPr="00000000">
        <w:rPr>
          <w:b w:val="1"/>
          <w:sz w:val="24"/>
          <w:szCs w:val="24"/>
          <w:rtl w:val="0"/>
        </w:rPr>
        <w:t xml:space="preserve">abstraktních</w:t>
      </w:r>
      <w:commentRangeStart w:id="9"/>
      <w:commentRangeStart w:id="10"/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 zkoušek</w:t>
      </w:r>
      <w:commentRangeEnd w:id="9"/>
      <w:r w:rsidDel="00000000" w:rsidR="00000000" w:rsidRPr="00000000">
        <w:commentReference w:id="9"/>
      </w:r>
      <w:commentRangeEnd w:id="10"/>
      <w:r w:rsidDel="00000000" w:rsidR="00000000" w:rsidRPr="00000000">
        <w:commentReference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definice ASN.1 popisů datových struktur použitých v rámci abstraktních zkoušek (např. struktury popisující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datových kontext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</w:t>
      </w:r>
      <w:r w:rsidDel="00000000" w:rsidR="00000000" w:rsidRPr="00000000">
        <w:rPr>
          <w:rtl w:val="0"/>
        </w:rPr>
        <w:t xml:space="preserve">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či </w:t>
      </w:r>
      <w:r w:rsidDel="00000000" w:rsidR="00000000" w:rsidRPr="00000000">
        <w:rPr>
          <w:rtl w:val="0"/>
        </w:rPr>
        <w:t xml:space="preserve">CCC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moduly atd.).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Funkce prezentované v této kapitole jsou externí funkce, definované pro inicializaci komunikace a jsou součástí obecného zdrojového kódu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popis mechanismu filtrování zpráv zaslaných mezi testerem a subjektem zkoušek (jaké zprávy jsou či nejsou ignorovány).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10 Konvence názvosloví 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konvence názvosloví pro TTCN-3 </w:t>
      </w:r>
      <w:r w:rsidDel="00000000" w:rsidR="00000000" w:rsidRPr="00000000">
        <w:rPr>
          <w:rtl w:val="0"/>
        </w:rPr>
        <w:t xml:space="preserve">prvky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ATS (např. moduly, konstanty, funkce, parametry atd.) Rovněž popisuje konvenci pro názvy jednotlivých testovacích případů (tzv. Test-case) a identifikátorů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A (informativní) – moduly TTCN-3 knihovny pro </w:t>
      </w:r>
      <w:r w:rsidDel="00000000" w:rsidR="00000000" w:rsidRPr="00000000">
        <w:rPr>
          <w:b w:val="1"/>
          <w:sz w:val="24"/>
          <w:szCs w:val="24"/>
          <w:rtl w:val="0"/>
        </w:rPr>
        <w:t xml:space="preserve">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</w:t>
      </w:r>
      <w:r w:rsidDel="00000000" w:rsidR="00000000" w:rsidRPr="00000000">
        <w:rPr>
          <w:rtl w:val="0"/>
        </w:rPr>
        <w:t xml:space="preserve">obsahuje odkaz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elektronick</w:t>
      </w:r>
      <w:r w:rsidDel="00000000" w:rsidR="00000000" w:rsidRPr="00000000">
        <w:rPr>
          <w:rtl w:val="0"/>
        </w:rPr>
        <w:t xml:space="preserve">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přílo</w:t>
      </w:r>
      <w:r w:rsidDel="00000000" w:rsidR="00000000" w:rsidRPr="00000000">
        <w:rPr>
          <w:rtl w:val="0"/>
        </w:rPr>
        <w:t xml:space="preserve">hu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A.1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archiv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, obsahující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zdrojové (ASN.1 a TTCN-3) kódy testů obsahující: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ASN.1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becné TTCN-3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specifické (týkající se roamingu) zdrojové kódy TTCN-3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dále </w:t>
      </w:r>
      <w:r w:rsidDel="00000000" w:rsidR="00000000" w:rsidRPr="00000000">
        <w:rPr>
          <w:rtl w:val="0"/>
        </w:rPr>
        <w:t xml:space="preserve">obsahuje odkaz 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 elektronick</w:t>
      </w:r>
      <w:r w:rsidDel="00000000" w:rsidR="00000000" w:rsidRPr="00000000">
        <w:rPr>
          <w:rtl w:val="0"/>
        </w:rPr>
        <w:t xml:space="preserve">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přílo</w:t>
      </w:r>
      <w:r w:rsidDel="00000000" w:rsidR="00000000" w:rsidRPr="00000000">
        <w:rPr>
          <w:rtl w:val="0"/>
        </w:rPr>
        <w:t xml:space="preserve">hu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A.2, </w:t>
      </w:r>
      <w:r w:rsidDel="00000000" w:rsidR="00000000" w:rsidRPr="00000000">
        <w:rPr>
          <w:rtl w:val="0"/>
        </w:rPr>
        <w:t xml:space="preserve">(archiv),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obsahující dokumentaci ve formátu HTML.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B (informativní) – PIXIT pro forma pro </w:t>
      </w:r>
      <w:r w:rsidDel="00000000" w:rsidR="00000000" w:rsidRPr="00000000">
        <w:rPr>
          <w:b w:val="1"/>
          <w:sz w:val="24"/>
          <w:szCs w:val="24"/>
          <w:rtl w:val="0"/>
        </w:rPr>
        <w:t xml:space="preserve">koncové zařízení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 a </w:t>
      </w:r>
      <w:r w:rsidDel="00000000" w:rsidR="00000000" w:rsidRPr="00000000">
        <w:rPr>
          <w:b w:val="1"/>
          <w:sz w:val="24"/>
          <w:szCs w:val="24"/>
          <w:rtl w:val="0"/>
        </w:rPr>
        <w:t xml:space="preserve">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tabulky pro dodatečné informace o zkoušení implementace protokolu (např. souhrn ATS, zkušební laboratoř, identifikace klienta, informace o protokolové vrstvě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comment w:author="lenkasvor" w:id="2" w:date="2014-11-24T20:51:13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smazat zdroje</w:t>
      </w:r>
    </w:p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formát jako v jiných extraktech</w:t>
      </w:r>
    </w:p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proč back end / front end velkým?</w:t>
      </w:r>
    </w:p>
  </w:comment>
  <w:comment w:author="Petr Bureš" w:id="0" w:date="2014-12-01T16:07:37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???</w:t>
      </w:r>
    </w:p>
  </w:comment>
  <w:comment w:author="jakub rajnoch" w:id="1" w:date="2014-12-01T16:07:37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takovy komentar je na nic... bud konkretnejsi</w:t>
      </w:r>
    </w:p>
  </w:comment>
  <w:comment w:author="Petr Bureš" w:id="7" w:date="2014-12-01T16:11:32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četl jsi to? po sobě?</w:t>
      </w:r>
    </w:p>
  </w:comment>
  <w:comment w:author="Petr Bureš" w:id="9" w:date="2014-12-01T16:11:32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četl jsi to? po sobě?</w:t>
      </w:r>
    </w:p>
  </w:comment>
  <w:comment w:author="jakub rajnoch" w:id="8" w:date="2014-12-01T16:11:32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ne</w:t>
      </w:r>
    </w:p>
  </w:comment>
  <w:comment w:author="jakub rajnoch" w:id="10" w:date="2014-12-01T16:11:32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ne</w:t>
      </w:r>
    </w:p>
  </w:comment>
  <w:comment w:author="Petr Bureš" w:id="5" w:date="2014-12-01T16:11:22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???</w:t>
      </w:r>
    </w:p>
  </w:comment>
  <w:comment w:author="jakub rajnoch" w:id="6" w:date="2014-12-01T16:11:22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????</w:t>
      </w:r>
    </w:p>
  </w:comment>
  <w:comment w:author="Petr Bureš" w:id="3" w:date="2014-12-01T16:11:14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??</w:t>
      </w:r>
    </w:p>
  </w:comment>
  <w:comment w:author="jakub rajnoch" w:id="4" w:date="2014-12-01T16:11:14Z"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40" w:lineRule="auto"/>
        <w:ind w:left="0" w:right="0" w:firstLine="0"/>
        <w:contextualSpacing w:val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????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  <w:rtl w:val="0"/>
      </w:rPr>
      <w:t xml:space="preserve">ČSN EN 16403-2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6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