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Elektronický výběr poplatků (EFC) – </w:t>
              <w:br w:type="textWrapping"/>
              <w:t xml:space="preserve">Posouzení shody zařízení s ISO/TS 17575-3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br w:type="textWrapping"/>
              <w:t xml:space="preserve">ČSN P</w:t>
              <w:br w:type="textWrapping"/>
              <w:t xml:space="preserve">CEN ISO/TS</w:t>
              <w:br w:type="textWrapping"/>
              <w:t xml:space="preserve">16410-2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widowControl w:val="1"/>
        <w:pBdr/>
        <w:tabs>
          <w:tab w:val="left" w:pos="7920"/>
        </w:tabs>
        <w:spacing w:after="360" w:before="240" w:line="240" w:lineRule="auto"/>
        <w:contextualSpacing w:val="0"/>
        <w:jc w:val="righ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 xml:space="preserve">12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Technická specifikace 16410-2 patří do skupiny normativních dokumentů umožňujících zavedení interoperabilních autonomních mýtných systémů. Důležitou součástí této skupiny jsou technické specifikace 17575 části 1 – 4 popisující datové struktury a způsob komunikace v rámci systému poskytovatele služby (Service Provider). Technická specifikace 17575 část 3 je zaměřena na popis datových struktur, prostřednictvím kterých je definován způsob výběru mýta v konkrétní oblasti, tarify i vlastní definice zpoplatněných objektů.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Poznámka: Extrakt přejímá původní číslování kapitol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je určena jako návod </w:t>
      </w:r>
      <w:r w:rsidDel="00000000" w:rsidR="00000000" w:rsidRPr="00000000">
        <w:rPr>
          <w:rtl w:val="0"/>
        </w:rPr>
        <w:t xml:space="preserve">posouzení </w:t>
      </w:r>
      <w:commentRangeStart w:id="0"/>
      <w:commentRangeStart w:id="1"/>
      <w:commentRangeStart w:id="2"/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shody 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mýtné palubní jednotky a centrálního systému s technickou specifikací 17575-3 jak z pohledu podporovaných schopností, tak z pohledu chování. Na základě výsledků zkoušek lze udělit schválení typu. Uživateli jsou technici, kteří implementují software pro mýtné jednotky, a pracovníci zkušebních laboratoří.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Souvisící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 normy (výběr)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souvisí s následujícími normativními dokumenty: ISO/TS 17575-3 Definice </w:t>
      </w:r>
      <w:r w:rsidDel="00000000" w:rsidR="00000000" w:rsidRPr="00000000">
        <w:rPr>
          <w:rtl w:val="0"/>
        </w:rPr>
        <w:t xml:space="preserve">aplikačního rozhraní pro autonimní mýtné systémy,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část 3: Kon</w:t>
      </w:r>
      <w:r w:rsidDel="00000000" w:rsidR="00000000" w:rsidRPr="00000000">
        <w:rPr>
          <w:rtl w:val="0"/>
        </w:rPr>
        <w:t xml:space="preserve">textová data,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ISO/IEC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9646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Propojení otev</w:t>
      </w:r>
      <w:r w:rsidDel="00000000" w:rsidR="00000000" w:rsidRPr="00000000">
        <w:rPr>
          <w:rtl w:val="0"/>
        </w:rPr>
        <w:t xml:space="preserve">řených systémů (OSI), Metodologie posuzování shody.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 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definuje abstraktní sestavu zkoušek (ATS) pro posouzení shody koncového zařízení a centrálního zařízení s požadavky ISO/TS 17575-3.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Cílem je poskytnout základ pro zkoušení shody koncových a centrálních zařízení v systému elektronického výběru poplatků, který se zakládá na autonomním palubním zařízení (OBE); tento základ umožní interoperabilitu mezi různými zařízeními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3  Termíny a 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definuje čtyři termíny.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Dále tato kapitola obsahuje 9 zkratek, například: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DUT – zkoušené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(Device Under Tests)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IUT – zkoušená implementace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(Implementation </w:t>
      </w:r>
      <w:r w:rsidDel="00000000" w:rsidR="00000000" w:rsidRPr="00000000">
        <w:rPr>
          <w:i w:val="1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nder </w:t>
      </w:r>
      <w:r w:rsidDel="00000000" w:rsidR="00000000" w:rsidRPr="00000000">
        <w:rPr>
          <w:i w:val="1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est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Abstraktní popis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Zkoušet lze buď implementaci centrálního systém</w:t>
      </w:r>
      <w:r w:rsidDel="00000000" w:rsidR="00000000" w:rsidRPr="00000000">
        <w:rPr>
          <w:rtl w:val="0"/>
        </w:rPr>
        <w:t xml:space="preserve">u (b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ack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nd), nebo konco</w:t>
      </w:r>
      <w:r w:rsidDel="00000000" w:rsidR="00000000" w:rsidRPr="00000000">
        <w:rPr>
          <w:rtl w:val="0"/>
        </w:rPr>
        <w:t xml:space="preserve">vého zařízení (f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ront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 V obou případech je součástí zkoušené implementace i komunikační vrstva. Zkouška se zahájí spuštěním sady zkušebních případů zapsaných v jazyku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Jak je patrné z obrázku 1, testovaný systém (zkoušená implementace) a tester jsou propojeny pomocí  komunikační vrstvy definované v ISO TS 17575-2.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0" locked="0" relativeHeight="0" simplePos="0">
            <wp:simplePos x="0" y="0"/>
            <wp:positionH relativeFrom="margin">
              <wp:posOffset>390525</wp:posOffset>
            </wp:positionH>
            <wp:positionV relativeFrom="paragraph">
              <wp:posOffset>66675</wp:posOffset>
            </wp:positionV>
            <wp:extent cx="4970780" cy="2097143"/>
            <wp:effectExtent b="0" l="0" r="0" t="0"/>
            <wp:wrapSquare wrapText="bothSides" distB="0" distT="0" distL="0" distR="0"/>
            <wp:docPr descr="ttcn3-tester.png" id="1" name="image2.png"/>
            <a:graphic>
              <a:graphicData uri="http://schemas.openxmlformats.org/drawingml/2006/picture">
                <pic:pic>
                  <pic:nvPicPr>
                    <pic:cNvPr descr="ttcn3-tester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0780" cy="20971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Obrázek 1</w:t>
      </w:r>
      <w:r w:rsidDel="00000000" w:rsidR="00000000" w:rsidRPr="00000000">
        <w:rPr>
          <w:b w:val="1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Architektura testovacího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systému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(obrázek </w:t>
      </w:r>
      <w:r w:rsidDel="00000000" w:rsidR="00000000" w:rsidRPr="00000000">
        <w:rPr>
          <w:b w:val="1"/>
          <w:rtl w:val="0"/>
        </w:rPr>
        <w:t xml:space="preserve">1 normy)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6  Neproveditelné zkoušky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Žádné nejsou známy.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7  Datové typy abstraktní sestavy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Všechny datové typy potřebné k provedení sady zkušebních případů zapsaných v jazyce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jsou dodány jako moduly ve formátu ASN.1. Jedná se 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ContextDataModule: obsahuje kontextová data (ContextData)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ChargingModule: obsahuje mimo jiné hlášení mýtného (ChargeReport) a odpověď na něj (ChargeReportResponse).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EfcModule: obsahuje mýtnou DSRC komunikaci mezi palubní jednotkou a zařízením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CccModule: obsahuje kontrolní DSRC komunikaci mezi palubní jednotkou a zařízení na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DSRCModule: obsahuje popis pro DSRC komunikaci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AVIAEINumberingAndDataStructures: obsahuje popis pro automatickou identifikaci zařízení a vozidla.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v 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obsahuje tyto externí funkce: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Inicializace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Uvolnění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Aplikační datové jednotky (ADU) posílané mezi UIT a testerem, které nejsou součástí testovacích cílů, by měly být ignorovány. Do TTCN-3 kódu je proto přidán příkaz, kterým se všechny ADU nezpracované skriptem pro účely zkušebních případů, ignorují.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10 Konvence pro pojmenovávání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 vyšší přehlednost je v rámci TTCN-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doporučeno používat určité konvence při tvorbě identifikátorů. Konvence určují používání velkých a malých písmen, předpon a přípon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dělení identifikátorů do částí oddělených „podtržítkem“.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technické specifikaci je dále na příkladech ukázán způsob pojmenovávání různých objektů v rámci TTCN</w:t>
      </w:r>
      <w:r w:rsidDel="00000000" w:rsidR="00000000" w:rsidRPr="00000000">
        <w:rPr>
          <w:rtl w:val="0"/>
        </w:rPr>
        <w:t xml:space="preserve">-3, viz tabulka 1.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Tabulka 1. Příkad konvencí pro pojmenovávání identifikátorů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v TTCN-</w:t>
      </w:r>
      <w:r w:rsidDel="00000000" w:rsidR="00000000" w:rsidRPr="00000000">
        <w:rPr>
          <w:b w:val="1"/>
          <w:rtl w:val="0"/>
        </w:rPr>
        <w:t xml:space="preserve">3</w:t>
      </w:r>
    </w:p>
    <w:tbl>
      <w:tblPr>
        <w:tblStyle w:val="Table2"/>
        <w:bidiVisual w:val="0"/>
        <w:tblW w:w="90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1935"/>
        <w:gridCol w:w="1170"/>
        <w:gridCol w:w="975"/>
        <w:gridCol w:w="2055"/>
        <w:gridCol w:w="1245"/>
        <w:tblGridChange w:id="0">
          <w:tblGrid>
            <w:gridCol w:w="1710"/>
            <w:gridCol w:w="1935"/>
            <w:gridCol w:w="1170"/>
            <w:gridCol w:w="975"/>
            <w:gridCol w:w="2055"/>
            <w:gridCol w:w="1245"/>
          </w:tblGrid>
        </w:tblGridChange>
      </w:tblGrid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Prvek jazyka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Konvence pojmenování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Předpona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Příklad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Poznámka</w:t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Modul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 (camel case)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ContextData_TE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testů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Všechna písmena velká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TP_RT_PS_TR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položek v rámci modulu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Valid_Behaviour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Popsán je také způsob pojmenovávání zkušebních případů, ze kterého je možné zjistit: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skupinu zkušebního případu,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zařízení, kterého se zkouška týká (Back End nebo Front End),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typ zkoušky (pozitivní nebo negativní),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sekvenční číslo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Dále je popsáno tvoření jmen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_TypesAndValues: modul obsahuje všechny datové typy a konstanty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_Functions: modul obsahuje funkce TTCN-3 určené pro porovnávání a ověření správnosti výsledků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_Templates: modul obsahuje šablony odesílaných a přijímaných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_Pixits: modul obsahuje rozšířené informace o implementaci (PIXIT) pro automatickou konfiguraci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_PICS: modul obsahuje definice PICS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_TCs: modul obsahuje  zkušební případy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_TE: modul obsahuje řídící část zkušebního skriptu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A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(normativní)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Knihovna TTCN-3 modulů </w:t>
      </w:r>
      <w:r w:rsidDel="00000000" w:rsidR="00000000" w:rsidRPr="00000000">
        <w:rPr>
          <w:b w:val="1"/>
          <w:sz w:val="22"/>
          <w:szCs w:val="22"/>
          <w:rtl w:val="0"/>
        </w:rPr>
        <w:t xml:space="preserve">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Jedná se o elektronickou přílohu tvořenou dvěma archivy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„ContextData_ttcn3_asn1.zip“, který obsahuje skripty TTCN-3 a definice datových typů v ASN.1.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„ContextData_html_doc.zip“, HTML dokumentace.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B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(informativní)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Proforma formulář PIXI</w:t>
      </w:r>
      <w:r w:rsidDel="00000000" w:rsidR="00000000" w:rsidRPr="00000000">
        <w:rPr>
          <w:b w:val="1"/>
          <w:sz w:val="22"/>
          <w:szCs w:val="22"/>
          <w:rtl w:val="0"/>
        </w:rPr>
        <w:t xml:space="preserve">T 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Proforma protokolu s rozšířenými informacemi o implementaci pro potřeby zkoušení centrálního systému a koncového zařízení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PIXIT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/>
      <w:pgMar w:bottom="1417" w:top="1417" w:left="1417" w:right="1417" w:head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comment w:author="lenkasvor" w:id="0" w:date="2014-11-27T02:01:04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je rozdíl mezi "zkoušení shody" a "hodnocení shody" a testy/zkoušky shody? viz 16403-2</w:t>
      </w:r>
    </w:p>
  </w:comment>
  <w:comment w:author="Jaroslav Altmann" w:id="1" w:date="2014-11-25T06:41:10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Já bych řekl, že ne.</w:t>
      </w:r>
    </w:p>
  </w:comment>
  <w:comment w:author="Petr Bureš" w:id="2" w:date="2014-11-27T02:01:04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posouzení?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widowControl w:val="1"/>
      <w:pBdr/>
      <w:tabs>
        <w:tab w:val="center" w:pos="4536"/>
        <w:tab w:val="right" w:pos="9072"/>
      </w:tabs>
      <w:spacing w:after="0" w:before="0" w:line="240" w:lineRule="auto"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10757" y="3707292"/>
                        <a:ext cx="70484" cy="1454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 PAGE 4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91425" lIns="91425" rIns="91425" tIns="91425"/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decimal"/>
      <w:lvlText w:val="%1."/>
      <w:lvlJc w:val="left"/>
      <w:pPr>
        <w:ind w:left="780" w:firstLine="42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  <w:style w:type="table" w:styleId="Table2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