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Str1Rad"/>
        <w:tabs>
          <w:tab w:val="clear" w:pos="7371"/>
          <w:tab w:val="clear" w:pos="9866"/>
          <w:tab w:val="left" w:pos="7080" w:leader="none"/>
          <w:tab w:val="right" w:pos="9923" w:leader="none"/>
        </w:tabs>
        <w:spacing w:before="0" w:after="60"/>
        <w:jc w:val="center"/>
        <w:rPr>
          <w:b/>
          <w:sz w:val="40"/>
          <w:szCs w:val="40"/>
        </w:rPr>
      </w:pPr>
      <w:r>
        <w:rPr>
          <w:b/>
          <w:sz w:val="40"/>
          <w:szCs w:val="40"/>
        </w:rPr>
        <w:t>EXTRAKT z české technické normy</w:t>
      </w:r>
    </w:p>
    <w:p>
      <w:pPr>
        <w:pStyle w:val="Textnormy"/>
        <w:rPr>
          <w:b/>
        </w:rPr>
      </w:pPr>
      <w:r>
        <w:rPr>
          <w:b/>
        </w:rPr>
        <w:t>Extrakt nenahrazuje samotnou technickou normu, je pouze informativním materiálem o normě.</w:t>
      </w:r>
    </w:p>
    <w:p>
      <w:pPr>
        <w:pStyle w:val="1Str1Rad"/>
        <w:tabs>
          <w:tab w:val="clear" w:pos="7371"/>
          <w:tab w:val="clear" w:pos="9866"/>
          <w:tab w:val="left" w:pos="7080" w:leader="none"/>
          <w:tab w:val="right" w:pos="9923" w:leader="none"/>
        </w:tabs>
        <w:spacing w:before="0" w:after="60"/>
        <w:rPr>
          <w:b/>
          <w:sz w:val="40"/>
          <w:szCs w:val="40"/>
        </w:rPr>
      </w:pPr>
      <w:r>
        <w:rPr>
          <w:b/>
          <w:sz w:val="40"/>
          <w:szCs w:val="40"/>
        </w:rPr>
        <w:t>ICS 03.220.20, 35.240.60</w:t>
        <w:tab/>
      </w:r>
    </w:p>
    <w:tbl>
      <w:tblPr>
        <w:tblW w:w="9923" w:type="dxa"/>
        <w:jc w:val="start"/>
        <w:tblInd w:w="0" w:type="dxa"/>
        <w:tblLayout w:type="fixed"/>
        <w:tblCellMar>
          <w:top w:w="0" w:type="dxa"/>
          <w:start w:w="0" w:type="dxa"/>
          <w:bottom w:w="0" w:type="dxa"/>
          <w:end w:w="0" w:type="dxa"/>
        </w:tblCellMar>
      </w:tblPr>
      <w:tblGrid>
        <w:gridCol w:w="7371"/>
        <w:gridCol w:w="2552"/>
      </w:tblGrid>
      <w:tr>
        <w:trPr>
          <w:trHeight w:val="1701" w:hRule="atLeast"/>
          <w:cantSplit/>
        </w:trPr>
        <w:tc>
          <w:tcPr>
            <w:tcW w:w="7371" w:type="dxa"/>
            <w:tcBorders>
              <w:top w:val="single" w:sz="12" w:space="0" w:color="000000"/>
              <w:bottom w:val="single" w:sz="12" w:space="0" w:color="000000"/>
            </w:tcBorders>
          </w:tcPr>
          <w:p>
            <w:pPr>
              <w:pStyle w:val="1StrCN"/>
              <w:spacing w:before="180" w:after="0"/>
              <w:rPr/>
            </w:pPr>
            <w:r>
              <w:rPr/>
              <w:t>Dopravní telematika – Automatická identifikace vozidel, zařízení a nákladů – Číslování a struktura dat</w:t>
            </w:r>
          </w:p>
        </w:tc>
        <w:tc>
          <w:tcPr>
            <w:tcW w:w="2552" w:type="dxa"/>
            <w:tcBorders>
              <w:top w:val="single" w:sz="12" w:space="0" w:color="000000"/>
              <w:bottom w:val="single" w:sz="12" w:space="0" w:color="000000"/>
            </w:tcBorders>
          </w:tcPr>
          <w:p>
            <w:pPr>
              <w:pStyle w:val="1StrCN"/>
              <w:spacing w:before="180" w:after="0"/>
              <w:rPr>
                <w:b w:val="false"/>
                <w:sz w:val="28"/>
              </w:rPr>
            </w:pPr>
            <w:r>
              <w:rPr/>
              <w:t>ČSN</w:t>
              <w:br/>
              <w:t>EN ISO 14816</w:t>
              <w:br/>
            </w:r>
          </w:p>
          <w:p>
            <w:pPr>
              <w:pStyle w:val="1StrTrZn"/>
              <w:spacing w:before="80" w:after="80"/>
              <w:rPr/>
            </w:pPr>
            <w:r>
              <w:rPr/>
              <w:t>01 8338</w:t>
            </w:r>
          </w:p>
        </w:tc>
      </w:tr>
    </w:tbl>
    <w:p>
      <w:pPr>
        <w:pStyle w:val="Shodnost"/>
        <w:tabs>
          <w:tab w:val="left" w:pos="7920" w:leader="none"/>
        </w:tabs>
        <w:rPr/>
      </w:pPr>
      <w:r>
        <w:rPr/>
        <w:t>Platí od 1.1.2007</w:t>
        <w:tab/>
        <w:t>39 stran</w:t>
      </w:r>
    </w:p>
    <w:p>
      <w:pPr>
        <w:pStyle w:val="Textnormy"/>
        <w:rPr>
          <w:b/>
          <w:sz w:val="22"/>
          <w:szCs w:val="22"/>
        </w:rPr>
      </w:pPr>
      <w:r>
        <w:rPr>
          <w:b/>
          <w:sz w:val="22"/>
          <w:szCs w:val="22"/>
        </w:rPr>
        <w:t>Úvod</w:t>
      </w:r>
    </w:p>
    <w:p>
      <w:pPr>
        <w:pStyle w:val="Textnormy"/>
        <w:rPr/>
      </w:pPr>
      <w:r>
        <w:rPr/>
        <w:t>Tato norma je součástí norem zaměřených na automatickou identifikaci vozidla, nákladu či položky zařízení pro účely telematických aplikací. Konkrétní telematické aplikace jsou sice z normy vyjmuty, ale jako příklad můžeme uvést systém elektronického výběru mýtného. V tomto systému jsou vozy vybaveny elektronickým zařízením obsahujícím údaje sloužící k jejich identifikaci.Jaké jsou tyto údaje, jakým způsobem se přidělují či jak jsou strukturovány určuje právě tato norma. Norma se nezabývá fyzickými aspekty jako je např. rozhraní, není závislá ani na frekvenci či radiovém rozhraní.</w:t>
      </w:r>
    </w:p>
    <w:p>
      <w:pPr>
        <w:pStyle w:val="Textnormy"/>
        <w:rPr>
          <w:b/>
          <w:sz w:val="22"/>
          <w:szCs w:val="22"/>
        </w:rPr>
      </w:pPr>
      <w:r>
        <w:rPr>
          <w:b/>
          <w:sz w:val="22"/>
          <w:szCs w:val="22"/>
        </w:rPr>
        <w:t>Užití</w:t>
      </w:r>
    </w:p>
    <w:p>
      <w:pPr>
        <w:pStyle w:val="Textnormy"/>
        <w:rPr>
          <w:spacing w:val="-2"/>
        </w:rPr>
      </w:pPr>
      <w:r>
        <w:rPr>
          <w:spacing w:val="-2"/>
        </w:rPr>
        <w:t xml:space="preserve">Tato norma je naprosto nezbytná na národní úrovni pro přidělování identifikátoru vydavatele a stanovuje postupy jeho přidělování. Bez této normy by nebylo možné na území ČR zavést telematickou aplikaci založenou či používající automatickou identifikaci (téměř všechny aplikace), protože by nebyl stanoven národní úřad, který by identifikátor Vydavatele přiděloval a spravoval. Vše ostatní je již technickou záležitostí vydavatelů či výrobců a dalších, a proto snáze ovlivnitelnou, jelikož se nachází v komerčním prostředí. Přidělováním identifikátoru vydavatele telematických zařízení (CS1) byl v České republice pověřen Český normalizační institut (ČNI); více informací o tom, jak postupovat při žádosti o identifikátor naleznete na internetových stránkách ČNI v této kategorii: </w:t>
      </w:r>
      <w:hyperlink r:id="rId2">
        <w:r>
          <w:rPr>
            <w:rStyle w:val="Hyperlink"/>
            <w:color w:val="0000FF"/>
            <w:spacing w:val="-2"/>
            <w:u w:val="single"/>
          </w:rPr>
          <w:t>Technická normalizace</w:t>
        </w:r>
      </w:hyperlink>
      <w:r>
        <w:rPr>
          <w:color w:val="0000FF"/>
          <w:spacing w:val="-2"/>
        </w:rPr>
        <w:t>&gt;</w:t>
      </w:r>
      <w:hyperlink r:id="rId3">
        <w:r>
          <w:rPr>
            <w:rStyle w:val="Hyperlink"/>
            <w:color w:val="0000FF"/>
            <w:spacing w:val="-2"/>
            <w:u w:val="single"/>
          </w:rPr>
          <w:t>Informace o normách</w:t>
        </w:r>
      </w:hyperlink>
      <w:r>
        <w:rPr>
          <w:color w:val="0000FF"/>
          <w:spacing w:val="-2"/>
        </w:rPr>
        <w:t>&gt;</w:t>
      </w:r>
      <w:hyperlink r:id="rId4">
        <w:r>
          <w:rPr>
            <w:rStyle w:val="Hyperlink"/>
            <w:color w:val="0000FF"/>
            <w:spacing w:val="-2"/>
            <w:u w:val="single"/>
          </w:rPr>
          <w:t>E byznys</w:t>
        </w:r>
      </w:hyperlink>
      <w:r>
        <w:rPr>
          <w:color w:val="0000FF"/>
          <w:spacing w:val="-2"/>
        </w:rPr>
        <w:t>&gt;</w:t>
      </w:r>
      <w:hyperlink r:id="rId5">
        <w:r>
          <w:rPr>
            <w:rStyle w:val="Hyperlink"/>
            <w:color w:val="0000FF"/>
            <w:spacing w:val="-2"/>
            <w:u w:val="single"/>
          </w:rPr>
          <w:t>Registrace ... OBU</w:t>
        </w:r>
      </w:hyperlink>
      <w:r>
        <w:rPr>
          <w:spacing w:val="-2"/>
        </w:rPr>
        <w:t xml:space="preserve"> adresa stránek je </w:t>
      </w:r>
      <w:hyperlink r:id="rId6">
        <w:r>
          <w:rPr>
            <w:rStyle w:val="Hyperlink"/>
            <w:color w:val="0000FF"/>
            <w:spacing w:val="-2"/>
          </w:rPr>
          <w:t>http://www.cni.cz/</w:t>
        </w:r>
      </w:hyperlink>
      <w:r>
        <w:rPr>
          <w:spacing w:val="-2"/>
        </w:rPr>
        <w:t>.</w:t>
      </w:r>
    </w:p>
    <w:p>
      <w:pPr>
        <w:pStyle w:val="Textnormy"/>
        <w:rPr/>
      </w:pPr>
      <w:r>
        <w:rPr>
          <w:b/>
        </w:rPr>
        <w:t xml:space="preserve">Pro orgány státní správy </w:t>
      </w:r>
      <w:r>
        <w:rPr/>
        <w:t>tato norma stanovuje způsob přidělování jednoznačných identifikátorů žadatelům a také způsob jejich spravování. Dále stanovuje práva a povinnosti Národního registračního administrátora Vydavatelů (NRA/I) vůči žadatelům a vůči hlavnímu Centrálnímu registračnímu administrátoru (CRA), který má sídlo v Holandsku.</w:t>
      </w:r>
    </w:p>
    <w:p>
      <w:pPr>
        <w:pStyle w:val="Textnormy"/>
        <w:rPr/>
      </w:pPr>
      <w:r>
        <w:rPr>
          <w:b/>
        </w:rPr>
        <w:t>Pro výrobce zařízení a dodavatele telematických systémů</w:t>
      </w:r>
      <w:r>
        <w:rPr/>
        <w:t xml:space="preserve"> tato norma obsahuje důležité pokyny, jak mají po datové a obsahové stránce vypadat struktury pro jednoznačnou identifikaci (jejich popis je uveden v ASN.1) a jakým způsobem postupovat při získávání/přidělování jednoznačného identifikátoru. V neposlední řadě také stanovuje jejich povinnosti vůči oficiálně určenému registračnímu úřadu.</w:t>
      </w:r>
    </w:p>
    <w:p>
      <w:pPr>
        <w:pStyle w:val="Textnormy"/>
        <w:rPr>
          <w:b/>
          <w:sz w:val="22"/>
          <w:szCs w:val="22"/>
        </w:rPr>
      </w:pPr>
      <w:r>
        <w:rPr>
          <w:b/>
          <w:sz w:val="22"/>
          <w:szCs w:val="22"/>
        </w:rPr>
        <w:t>Souvisící normy</w:t>
      </w:r>
    </w:p>
    <w:p>
      <w:pPr>
        <w:pStyle w:val="Textnormy"/>
        <w:rPr/>
      </w:pPr>
      <w:r>
        <w:rPr/>
        <w:t>ISO 14814 poskytuje referenční model architektury pro AVI/AEI systémy. Čtenářům je též doporučeno před čtením hlavní části této mezinárodní normy seznámit se s normami ISO/IEC 8824, ISO/IEC 8825-1, ISO/IEC 8825-2 a ISO/IEC 8825-3, případně s dalšími publikovanými pracemi na téma ASN.1.</w:t>
      </w:r>
    </w:p>
    <w:p>
      <w:pPr>
        <w:pStyle w:val="Textnormy"/>
        <w:rPr>
          <w:b/>
          <w:sz w:val="22"/>
          <w:szCs w:val="22"/>
        </w:rPr>
      </w:pPr>
      <w:r>
        <w:rPr>
          <w:b/>
          <w:sz w:val="22"/>
          <w:szCs w:val="22"/>
        </w:rPr>
        <w:t>1 Předmět normy</w:t>
      </w:r>
    </w:p>
    <w:p>
      <w:pPr>
        <w:pStyle w:val="Textnormy"/>
        <w:rPr/>
      </w:pPr>
      <w:r>
        <w:rPr/>
        <w:t xml:space="preserve">Norma stanovuje osm struktur pro identifikaci či pro činnosti spojené s identifikací (časové a regionální omezení platnosti identifikátorů). </w:t>
      </w:r>
    </w:p>
    <w:p>
      <w:pPr>
        <w:pStyle w:val="Textnormy"/>
        <w:rPr/>
      </w:pPr>
      <w:r>
        <w:rPr/>
        <w:t>Technický popis identifikátorů je uveden v hlavním těle normy, zatímco procedury žádosti, vydávání a spravování identifikátorů jsou pro svůj netechnický charakter umístěny do přílohy A.</w:t>
      </w:r>
    </w:p>
    <w:p>
      <w:pPr>
        <w:pStyle w:val="Textnormy"/>
        <w:rPr/>
      </w:pPr>
      <w:r>
        <w:rPr/>
      </w:r>
    </w:p>
    <w:p>
      <w:pPr>
        <w:pStyle w:val="Textnormy"/>
        <w:rPr>
          <w:b/>
          <w:sz w:val="22"/>
          <w:szCs w:val="22"/>
        </w:rPr>
      </w:pPr>
      <w:r>
        <w:rPr>
          <w:b/>
          <w:sz w:val="22"/>
          <w:szCs w:val="22"/>
        </w:rPr>
        <w:t>3 Termíny a definice</w:t>
      </w:r>
    </w:p>
    <w:p>
      <w:pPr>
        <w:pStyle w:val="Textnormy"/>
        <w:rPr>
          <w:lang w:bidi="zxx"/>
        </w:rPr>
      </w:pPr>
      <w:r>
        <w:rPr>
          <w:lang w:bidi="zxx"/>
        </w:rPr>
        <w:t>Hlavní termíny a definice jsou obsaženy v příloze A, nejdůležitější z nich jsou uvedeny níže:</w:t>
      </w:r>
    </w:p>
    <w:p>
      <w:pPr>
        <w:pStyle w:val="Textnormy"/>
        <w:rPr>
          <w:lang w:bidi="zxx"/>
        </w:rPr>
      </w:pPr>
      <w:r>
        <w:rPr>
          <w:b/>
          <w:lang w:bidi="zxx"/>
        </w:rPr>
        <w:t xml:space="preserve">vydavatel </w:t>
      </w:r>
      <w:r>
        <w:rPr>
          <w:i/>
          <w:lang w:bidi="zxx"/>
        </w:rPr>
        <w:t>(issuer)</w:t>
      </w:r>
      <w:r>
        <w:rPr>
          <w:b/>
          <w:lang w:bidi="zxx"/>
        </w:rPr>
        <w:t xml:space="preserve"> </w:t>
      </w:r>
      <w:r>
        <w:rPr>
          <w:lang w:bidi="zxx"/>
        </w:rPr>
        <w:t xml:space="preserve">osoba či organizace, která vydává/přiděluje identifikátory pro koncové uživatele. Vydavatel musí mít přidělený identifikátor vydavatele od Národního registračního administrátora vydavatelů, potom je identifikátor vydavatele součástí jím vydávaného identifikátoru. </w:t>
      </w:r>
    </w:p>
    <w:p>
      <w:pPr>
        <w:pStyle w:val="Textnormy"/>
        <w:rPr>
          <w:lang w:bidi="zxx"/>
        </w:rPr>
      </w:pPr>
      <w:r>
        <w:rPr>
          <w:b/>
          <w:lang w:bidi="zxx"/>
        </w:rPr>
        <w:t xml:space="preserve">CRA </w:t>
      </w:r>
      <w:r>
        <w:rPr>
          <w:lang w:bidi="zxx"/>
        </w:rPr>
        <w:t xml:space="preserve">centrální registrační administrátor, úřad spravující registry národních registračních administrátorů (NRA/I a NRA/T) a registr výrobců. Je jím Nizozemský normalizační institut. </w:t>
      </w:r>
    </w:p>
    <w:p>
      <w:pPr>
        <w:pStyle w:val="Textnormy"/>
        <w:rPr>
          <w:lang w:bidi="zxx"/>
        </w:rPr>
      </w:pPr>
      <w:r>
        <w:rPr>
          <w:b/>
          <w:lang w:bidi="zxx"/>
        </w:rPr>
        <w:t xml:space="preserve">NRA/I </w:t>
      </w:r>
      <w:r>
        <w:rPr>
          <w:lang w:bidi="zxx"/>
        </w:rPr>
        <w:t xml:space="preserve">národní registrační administrátor vydavatelů, orgán na národní úrovni, ustanovený za účelem autorizace CS1 vydavatelů, aby tito vydavatelé mohli na národní úrovni vydávat identifikátory CS1. NRA/I musí být registrován u CRA. </w:t>
      </w:r>
    </w:p>
    <w:p>
      <w:pPr>
        <w:pStyle w:val="Textnormy"/>
        <w:rPr>
          <w:lang w:bidi="zxx"/>
        </w:rPr>
      </w:pPr>
      <w:r>
        <w:rPr>
          <w:b/>
          <w:lang w:bidi="zxx"/>
        </w:rPr>
        <w:t xml:space="preserve">registr vydavatelů </w:t>
      </w:r>
      <w:r>
        <w:rPr>
          <w:i/>
          <w:lang w:bidi="zxx"/>
        </w:rPr>
        <w:t>(issuer register)</w:t>
      </w:r>
      <w:r>
        <w:rPr>
          <w:b/>
          <w:lang w:bidi="zxx"/>
        </w:rPr>
        <w:t xml:space="preserve"> (</w:t>
      </w:r>
      <w:r>
        <w:rPr>
          <w:lang w:bidi="zxx"/>
        </w:rPr>
        <w:t xml:space="preserve">NRA/I musí udržovat registr Vydavatelů a struktur na národní úrovni. Registr vydavatelů nesmí obsahovat žádné osobní informace. </w:t>
      </w:r>
    </w:p>
    <w:p>
      <w:pPr>
        <w:pStyle w:val="Textnormy"/>
        <w:rPr>
          <w:lang w:bidi="zxx"/>
        </w:rPr>
      </w:pPr>
      <w:r>
        <w:rPr>
          <w:b/>
          <w:lang w:bidi="zxx"/>
        </w:rPr>
        <w:t xml:space="preserve">NRA/T </w:t>
      </w:r>
      <w:r>
        <w:rPr>
          <w:lang w:bidi="zxx"/>
        </w:rPr>
        <w:t>národní registrační administrátor daňových úřadů, orgán na národní úrovni pověřený registrací daňových úřadů a vydáváním identifikátorů daňových úřadů CS8 na celostátní úrovni. NRA/T musí být registrován u CRA.</w:t>
      </w:r>
    </w:p>
    <w:p>
      <w:pPr>
        <w:pStyle w:val="Textnormy"/>
        <w:rPr>
          <w:lang w:bidi="zxx"/>
        </w:rPr>
      </w:pPr>
      <w:r>
        <w:rPr>
          <w:b/>
          <w:lang w:bidi="zxx"/>
        </w:rPr>
        <w:t xml:space="preserve">registr daňových úřadů </w:t>
      </w:r>
      <w:r>
        <w:rPr>
          <w:i/>
          <w:lang w:bidi="zxx"/>
        </w:rPr>
        <w:t>(register of tax authorities)</w:t>
      </w:r>
      <w:r>
        <w:rPr>
          <w:b/>
          <w:lang w:bidi="zxx"/>
        </w:rPr>
        <w:t xml:space="preserve"> </w:t>
      </w:r>
      <w:r>
        <w:rPr>
          <w:lang w:bidi="zxx"/>
        </w:rPr>
        <w:t>NRA/T musí udržovat registr všech vydaných registrací daňových úřadů včetně jejich daňových kódů na celostátní úrovni.</w:t>
      </w:r>
    </w:p>
    <w:p>
      <w:pPr>
        <w:pStyle w:val="Textnormy"/>
        <w:rPr>
          <w:b/>
          <w:sz w:val="22"/>
          <w:szCs w:val="22"/>
        </w:rPr>
      </w:pPr>
      <w:r>
        <w:rPr>
          <w:b/>
          <w:sz w:val="22"/>
          <w:szCs w:val="22"/>
        </w:rPr>
        <w:t xml:space="preserve">Kapitola 4 Požadavky </w:t>
      </w:r>
    </w:p>
    <w:p>
      <w:pPr>
        <w:pStyle w:val="Textnormy"/>
        <w:rPr>
          <w:lang w:bidi="zxx"/>
        </w:rPr>
      </w:pPr>
      <w:r>
        <w:rPr>
          <w:lang w:bidi="zxx"/>
        </w:rPr>
        <w:t>Kódovací struktura má mít dle normy následující vlastnosti:</w:t>
      </w:r>
    </w:p>
    <w:p>
      <w:pPr>
        <w:pStyle w:val="Normal"/>
        <w:widowControl w:val="false"/>
        <w:numPr>
          <w:ilvl w:val="0"/>
          <w:numId w:val="2"/>
        </w:numPr>
        <w:tabs>
          <w:tab w:val="clear" w:pos="708"/>
          <w:tab w:val="left" w:pos="593" w:leader="none"/>
          <w:tab w:val="left" w:pos="831" w:leader="none"/>
        </w:tabs>
        <w:suppressAutoHyphens w:val="true"/>
        <w:spacing w:before="0" w:after="120"/>
        <w:jc w:val="both"/>
        <w:rPr>
          <w:rFonts w:cs="Arial"/>
          <w:lang w:bidi="zxx"/>
        </w:rPr>
      </w:pPr>
      <w:r>
        <w:rPr>
          <w:rFonts w:cs="Arial"/>
          <w:lang w:bidi="zxx"/>
        </w:rPr>
        <w:t>je jednoznačná a dostatečně flexibilní, aby pojala relevantní číslovací schémata související s dopravou,</w:t>
      </w:r>
    </w:p>
    <w:p>
      <w:pPr>
        <w:pStyle w:val="Normal"/>
        <w:widowControl w:val="false"/>
        <w:numPr>
          <w:ilvl w:val="0"/>
          <w:numId w:val="2"/>
        </w:numPr>
        <w:tabs>
          <w:tab w:val="clear" w:pos="708"/>
          <w:tab w:val="left" w:pos="593" w:leader="none"/>
          <w:tab w:val="left" w:pos="831" w:leader="none"/>
        </w:tabs>
        <w:suppressAutoHyphens w:val="true"/>
        <w:spacing w:before="0" w:after="120"/>
        <w:jc w:val="both"/>
        <w:rPr>
          <w:rFonts w:cs="Arial"/>
          <w:lang w:bidi="zxx"/>
        </w:rPr>
      </w:pPr>
      <w:r>
        <w:rPr>
          <w:rFonts w:cs="Arial"/>
          <w:lang w:bidi="zxx"/>
        </w:rPr>
        <w:t>stanovuje přesné (exaktní) kódování datových prvků,</w:t>
      </w:r>
    </w:p>
    <w:p>
      <w:pPr>
        <w:pStyle w:val="Normal"/>
        <w:widowControl w:val="false"/>
        <w:numPr>
          <w:ilvl w:val="0"/>
          <w:numId w:val="2"/>
        </w:numPr>
        <w:tabs>
          <w:tab w:val="clear" w:pos="708"/>
          <w:tab w:val="left" w:pos="593" w:leader="none"/>
          <w:tab w:val="left" w:pos="831" w:leader="none"/>
        </w:tabs>
        <w:suppressAutoHyphens w:val="true"/>
        <w:spacing w:before="0" w:after="120"/>
        <w:jc w:val="both"/>
        <w:rPr>
          <w:rFonts w:cs="Arial"/>
          <w:lang w:bidi="zxx"/>
        </w:rPr>
      </w:pPr>
      <w:r>
        <w:rPr>
          <w:rFonts w:cs="Arial"/>
          <w:lang w:bidi="zxx"/>
        </w:rPr>
        <w:t>je připravená pro možné budoucí rozšíření a umožňuje začlenění privátních struktur.</w:t>
      </w:r>
    </w:p>
    <w:p>
      <w:pPr>
        <w:pStyle w:val="Textnormy"/>
        <w:rPr>
          <w:lang w:bidi="zxx"/>
        </w:rPr>
      </w:pPr>
      <w:r>
        <w:rPr>
          <w:lang w:bidi="zxx"/>
        </w:rPr>
        <w:t>Článek 4.2 obsahuje obecné požadavky na interoperabilitu a zpětnou kompatibilitu zařízení používající struktury stanovené v této normě. Popisuje, jaké normy jsou relevantní (byly použity) pro zápis syntaxe kódovacích struktur (strukturu dat čl. 4.3), a specifikuje požadavky na jejich umístění v koncovém zařízení (čl. 4.5). Článek 4.5 stanovuje osm základních kódovacích struktur CS1-CS8 a jejich datové položky. Tabulka 2 ukazuje 8 definovaných CS (kódovacích struktur) ve zkrácené podobě s podrobným výčtem základních elementů.</w:t>
      </w:r>
    </w:p>
    <w:p>
      <w:pPr>
        <w:pStyle w:val="Tabulka"/>
        <w:jc w:val="center"/>
        <w:rPr>
          <w:rFonts w:ascii="Arial" w:hAnsi="Arial" w:cs="Arial"/>
          <w:b/>
          <w:i w:val="false"/>
          <w:sz w:val="20"/>
          <w:szCs w:val="20"/>
          <w:lang w:bidi="zxx"/>
        </w:rPr>
      </w:pPr>
      <w:r>
        <w:rPr/>
        <w:t>Tabulka 2 – Kódovací struktury stanovené v normě</w:t>
      </w:r>
    </w:p>
    <w:tbl>
      <w:tblPr>
        <w:tblW w:w="7940" w:type="dxa"/>
        <w:jc w:val="start"/>
        <w:tblInd w:w="637" w:type="dxa"/>
        <w:tblLayout w:type="fixed"/>
        <w:tblCellMar>
          <w:top w:w="0" w:type="dxa"/>
          <w:start w:w="107" w:type="dxa"/>
          <w:bottom w:w="0" w:type="dxa"/>
          <w:end w:w="107" w:type="dxa"/>
        </w:tblCellMar>
      </w:tblPr>
      <w:tblGrid>
        <w:gridCol w:w="720"/>
        <w:gridCol w:w="1346"/>
        <w:gridCol w:w="1174"/>
        <w:gridCol w:w="360"/>
        <w:gridCol w:w="180"/>
        <w:gridCol w:w="720"/>
        <w:gridCol w:w="1069"/>
        <w:gridCol w:w="11"/>
        <w:gridCol w:w="6"/>
        <w:gridCol w:w="534"/>
        <w:gridCol w:w="1820"/>
      </w:tblGrid>
      <w:tr>
        <w:trPr>
          <w:tblHeader w:val="true"/>
          <w:trHeight w:val="397" w:hRule="atLeast"/>
        </w:trPr>
        <w:tc>
          <w:tcPr>
            <w:tcW w:w="720" w:type="dxa"/>
            <w:tcBorders>
              <w:top w:val="single" w:sz="4" w:space="0" w:color="000000"/>
              <w:start w:val="single" w:sz="4" w:space="0" w:color="000000"/>
              <w:bottom w:val="single" w:sz="4" w:space="0" w:color="000000"/>
            </w:tcBorders>
            <w:vAlign w:val="center"/>
          </w:tcPr>
          <w:p>
            <w:pPr>
              <w:pStyle w:val="Texttabulky"/>
              <w:snapToGrid w:val="false"/>
              <w:spacing w:before="60" w:after="60"/>
              <w:rPr>
                <w:rFonts w:cs="Arial"/>
                <w:b/>
              </w:rPr>
            </w:pPr>
            <w:r>
              <w:rPr>
                <w:rFonts w:cs="Arial"/>
                <w:b/>
              </w:rPr>
              <w:t>CSI</w:t>
            </w:r>
          </w:p>
        </w:tc>
        <w:tc>
          <w:tcPr>
            <w:tcW w:w="1346" w:type="dxa"/>
            <w:tcBorders>
              <w:top w:val="single" w:sz="4" w:space="0" w:color="000000"/>
              <w:start w:val="single" w:sz="4" w:space="0" w:color="000000"/>
              <w:bottom w:val="single" w:sz="4" w:space="0" w:color="000000"/>
            </w:tcBorders>
            <w:vAlign w:val="center"/>
          </w:tcPr>
          <w:p>
            <w:pPr>
              <w:pStyle w:val="Texttabulky"/>
              <w:snapToGrid w:val="false"/>
              <w:spacing w:before="60" w:after="60"/>
              <w:rPr>
                <w:rFonts w:cs="Arial"/>
                <w:b/>
              </w:rPr>
            </w:pPr>
            <w:r>
              <w:rPr>
                <w:rFonts w:cs="Arial"/>
                <w:b/>
              </w:rPr>
              <w:t>Délka</w:t>
            </w:r>
          </w:p>
        </w:tc>
        <w:tc>
          <w:tcPr>
            <w:tcW w:w="5874" w:type="dxa"/>
            <w:gridSpan w:val="9"/>
            <w:tcBorders>
              <w:top w:val="single" w:sz="4" w:space="0" w:color="000000"/>
              <w:start w:val="single" w:sz="4" w:space="0" w:color="000000"/>
              <w:bottom w:val="single" w:sz="4" w:space="0" w:color="000000"/>
              <w:end w:val="single" w:sz="4" w:space="0" w:color="000000"/>
            </w:tcBorders>
            <w:vAlign w:val="center"/>
          </w:tcPr>
          <w:p>
            <w:pPr>
              <w:pStyle w:val="Texttabulky"/>
              <w:snapToGrid w:val="false"/>
              <w:spacing w:before="60" w:after="60"/>
              <w:rPr>
                <w:rFonts w:cs="Arial"/>
                <w:b/>
              </w:rPr>
            </w:pPr>
            <w:r>
              <w:rPr>
                <w:rFonts w:cs="Arial"/>
                <w:b/>
              </w:rPr>
              <w:t>datová pole kódovacích struktur</w:t>
            </w:r>
          </w:p>
        </w:tc>
      </w:tr>
      <w:tr>
        <w:trPr>
          <w:trHeight w:val="340" w:hRule="exact"/>
          <w:cantSplit/>
        </w:trPr>
        <w:tc>
          <w:tcPr>
            <w:tcW w:w="720" w:type="dxa"/>
            <w:vMerge w:val="restart"/>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1</w:t>
            </w:r>
          </w:p>
        </w:tc>
        <w:tc>
          <w:tcPr>
            <w:tcW w:w="1346" w:type="dxa"/>
            <w:vMerge w:val="restart"/>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7 bajtů</w:t>
            </w:r>
          </w:p>
          <w:p>
            <w:pPr>
              <w:pStyle w:val="Texttabulky"/>
              <w:spacing w:before="60" w:after="60"/>
              <w:rPr>
                <w:rFonts w:cs="Arial"/>
              </w:rPr>
            </w:pPr>
            <w:r>
              <w:rPr>
                <w:rFonts w:cs="Arial"/>
              </w:rPr>
              <w:t>(56 bitů)</w:t>
            </w:r>
          </w:p>
        </w:tc>
        <w:tc>
          <w:tcPr>
            <w:tcW w:w="1714" w:type="dxa"/>
            <w:gridSpan w:val="3"/>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kód země</w:t>
            </w:r>
          </w:p>
        </w:tc>
        <w:tc>
          <w:tcPr>
            <w:tcW w:w="2340" w:type="dxa"/>
            <w:gridSpan w:val="5"/>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identifikátor Vydavatele</w:t>
            </w:r>
          </w:p>
        </w:tc>
        <w:tc>
          <w:tcPr>
            <w:tcW w:w="1820" w:type="dxa"/>
            <w:tcBorders>
              <w:start w:val="single" w:sz="4" w:space="0" w:color="000000"/>
              <w:bottom w:val="single" w:sz="4" w:space="0" w:color="000000"/>
              <w:end w:val="single" w:sz="4" w:space="0" w:color="000000"/>
            </w:tcBorders>
            <w:vAlign w:val="center"/>
          </w:tcPr>
          <w:p>
            <w:pPr>
              <w:pStyle w:val="Texttabulky"/>
              <w:snapToGrid w:val="false"/>
              <w:spacing w:before="60" w:after="60"/>
              <w:rPr>
                <w:rFonts w:cs="Arial"/>
              </w:rPr>
            </w:pPr>
            <w:r>
              <w:rPr>
                <w:rFonts w:cs="Arial"/>
              </w:rPr>
              <w:t>servisní číslo</w:t>
            </w:r>
          </w:p>
        </w:tc>
      </w:tr>
      <w:tr>
        <w:trPr>
          <w:cantSplit/>
        </w:trPr>
        <w:tc>
          <w:tcPr>
            <w:tcW w:w="720" w:type="dxa"/>
            <w:vMerge w:val="continue"/>
            <w:tcBorders>
              <w:start w:val="single" w:sz="4" w:space="0" w:color="000000"/>
              <w:bottom w:val="single" w:sz="4" w:space="0" w:color="000000"/>
            </w:tcBorders>
            <w:vAlign w:val="center"/>
          </w:tcPr>
          <w:p>
            <w:pPr>
              <w:pStyle w:val="Normal"/>
              <w:snapToGrid w:val="false"/>
              <w:rPr>
                <w:rFonts w:cs="Arial"/>
              </w:rPr>
            </w:pPr>
            <w:r>
              <w:rPr>
                <w:rFonts w:cs="Arial"/>
              </w:rPr>
            </w:r>
          </w:p>
        </w:tc>
        <w:tc>
          <w:tcPr>
            <w:tcW w:w="1346" w:type="dxa"/>
            <w:vMerge w:val="continue"/>
            <w:tcBorders>
              <w:start w:val="single" w:sz="4" w:space="0" w:color="000000"/>
              <w:bottom w:val="single" w:sz="4" w:space="0" w:color="000000"/>
            </w:tcBorders>
            <w:vAlign w:val="center"/>
          </w:tcPr>
          <w:p>
            <w:pPr>
              <w:pStyle w:val="Normal"/>
              <w:snapToGrid w:val="false"/>
              <w:rPr>
                <w:rFonts w:cs="Arial"/>
              </w:rPr>
            </w:pPr>
            <w:r>
              <w:rPr>
                <w:rFonts w:cs="Arial"/>
              </w:rPr>
            </w:r>
          </w:p>
        </w:tc>
        <w:tc>
          <w:tcPr>
            <w:tcW w:w="1714" w:type="dxa"/>
            <w:gridSpan w:val="3"/>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10</w:t>
            </w:r>
          </w:p>
        </w:tc>
        <w:tc>
          <w:tcPr>
            <w:tcW w:w="2340" w:type="dxa"/>
            <w:gridSpan w:val="5"/>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14</w:t>
            </w:r>
          </w:p>
        </w:tc>
        <w:tc>
          <w:tcPr>
            <w:tcW w:w="1820" w:type="dxa"/>
            <w:tcBorders>
              <w:start w:val="single" w:sz="4" w:space="0" w:color="000000"/>
              <w:bottom w:val="single" w:sz="4" w:space="0" w:color="000000"/>
              <w:end w:val="single" w:sz="4" w:space="0" w:color="000000"/>
            </w:tcBorders>
            <w:vAlign w:val="center"/>
          </w:tcPr>
          <w:p>
            <w:pPr>
              <w:pStyle w:val="Texttabulky"/>
              <w:snapToGrid w:val="false"/>
              <w:spacing w:before="60" w:after="60"/>
              <w:rPr>
                <w:rFonts w:cs="Arial"/>
              </w:rPr>
            </w:pPr>
            <w:r>
              <w:rPr>
                <w:rFonts w:cs="Arial"/>
              </w:rPr>
              <w:t>32</w:t>
            </w:r>
          </w:p>
        </w:tc>
      </w:tr>
      <w:tr>
        <w:trPr>
          <w:trHeight w:val="340" w:hRule="exact"/>
          <w:cantSplit/>
        </w:trPr>
        <w:tc>
          <w:tcPr>
            <w:tcW w:w="720" w:type="dxa"/>
            <w:vMerge w:val="restart"/>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2</w:t>
            </w:r>
          </w:p>
        </w:tc>
        <w:tc>
          <w:tcPr>
            <w:tcW w:w="1346" w:type="dxa"/>
            <w:vMerge w:val="restart"/>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6 bajtů</w:t>
            </w:r>
          </w:p>
          <w:p>
            <w:pPr>
              <w:pStyle w:val="Texttabulky"/>
              <w:spacing w:before="60" w:after="60"/>
              <w:rPr>
                <w:rFonts w:cs="Arial"/>
              </w:rPr>
            </w:pPr>
            <w:r>
              <w:rPr>
                <w:rFonts w:cs="Arial"/>
              </w:rPr>
              <w:t>(48 bitů)</w:t>
            </w:r>
          </w:p>
        </w:tc>
        <w:tc>
          <w:tcPr>
            <w:tcW w:w="3520" w:type="dxa"/>
            <w:gridSpan w:val="7"/>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identifikátor výrobce</w:t>
            </w:r>
          </w:p>
        </w:tc>
        <w:tc>
          <w:tcPr>
            <w:tcW w:w="2354" w:type="dxa"/>
            <w:gridSpan w:val="2"/>
            <w:tcBorders>
              <w:start w:val="single" w:sz="4" w:space="0" w:color="000000"/>
              <w:bottom w:val="single" w:sz="4" w:space="0" w:color="000000"/>
              <w:end w:val="single" w:sz="4" w:space="0" w:color="000000"/>
            </w:tcBorders>
            <w:vAlign w:val="center"/>
          </w:tcPr>
          <w:p>
            <w:pPr>
              <w:pStyle w:val="Texttabulky"/>
              <w:snapToGrid w:val="false"/>
              <w:spacing w:before="60" w:after="60"/>
              <w:rPr>
                <w:rFonts w:cs="Arial"/>
              </w:rPr>
            </w:pPr>
            <w:r>
              <w:rPr>
                <w:rFonts w:cs="Arial"/>
              </w:rPr>
              <w:t>servisní číslo</w:t>
            </w:r>
          </w:p>
        </w:tc>
      </w:tr>
      <w:tr>
        <w:trPr>
          <w:cantSplit/>
        </w:trPr>
        <w:tc>
          <w:tcPr>
            <w:tcW w:w="720" w:type="dxa"/>
            <w:vMerge w:val="continue"/>
            <w:tcBorders>
              <w:start w:val="single" w:sz="4" w:space="0" w:color="000000"/>
              <w:bottom w:val="single" w:sz="4" w:space="0" w:color="000000"/>
            </w:tcBorders>
            <w:vAlign w:val="center"/>
          </w:tcPr>
          <w:p>
            <w:pPr>
              <w:pStyle w:val="Normal"/>
              <w:snapToGrid w:val="false"/>
              <w:rPr>
                <w:rFonts w:cs="Arial"/>
              </w:rPr>
            </w:pPr>
            <w:r>
              <w:rPr>
                <w:rFonts w:cs="Arial"/>
              </w:rPr>
            </w:r>
          </w:p>
        </w:tc>
        <w:tc>
          <w:tcPr>
            <w:tcW w:w="1346" w:type="dxa"/>
            <w:vMerge w:val="continue"/>
            <w:tcBorders>
              <w:start w:val="single" w:sz="4" w:space="0" w:color="000000"/>
              <w:bottom w:val="single" w:sz="4" w:space="0" w:color="000000"/>
            </w:tcBorders>
            <w:vAlign w:val="center"/>
          </w:tcPr>
          <w:p>
            <w:pPr>
              <w:pStyle w:val="Normal"/>
              <w:snapToGrid w:val="false"/>
              <w:rPr>
                <w:rFonts w:cs="Arial"/>
              </w:rPr>
            </w:pPr>
            <w:r>
              <w:rPr>
                <w:rFonts w:cs="Arial"/>
              </w:rPr>
            </w:r>
          </w:p>
        </w:tc>
        <w:tc>
          <w:tcPr>
            <w:tcW w:w="3520" w:type="dxa"/>
            <w:gridSpan w:val="7"/>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16</w:t>
            </w:r>
          </w:p>
        </w:tc>
        <w:tc>
          <w:tcPr>
            <w:tcW w:w="2354" w:type="dxa"/>
            <w:gridSpan w:val="2"/>
            <w:tcBorders>
              <w:start w:val="single" w:sz="4" w:space="0" w:color="000000"/>
              <w:bottom w:val="single" w:sz="4" w:space="0" w:color="000000"/>
              <w:end w:val="single" w:sz="4" w:space="0" w:color="000000"/>
            </w:tcBorders>
            <w:vAlign w:val="center"/>
          </w:tcPr>
          <w:p>
            <w:pPr>
              <w:pStyle w:val="Texttabulky"/>
              <w:snapToGrid w:val="false"/>
              <w:spacing w:before="60" w:after="60"/>
              <w:rPr>
                <w:rFonts w:cs="Arial"/>
              </w:rPr>
            </w:pPr>
            <w:r>
              <w:rPr>
                <w:rFonts w:cs="Arial"/>
              </w:rPr>
              <w:t>32</w:t>
            </w:r>
          </w:p>
        </w:tc>
      </w:tr>
      <w:tr>
        <w:trPr>
          <w:trHeight w:val="751" w:hRule="exact"/>
          <w:cantSplit/>
        </w:trPr>
        <w:tc>
          <w:tcPr>
            <w:tcW w:w="720" w:type="dxa"/>
            <w:vMerge w:val="restart"/>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3</w:t>
            </w:r>
          </w:p>
        </w:tc>
        <w:tc>
          <w:tcPr>
            <w:tcW w:w="1346" w:type="dxa"/>
            <w:vMerge w:val="restart"/>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22 bajtů</w:t>
            </w:r>
          </w:p>
          <w:p>
            <w:pPr>
              <w:pStyle w:val="Texttabulky"/>
              <w:spacing w:before="60" w:after="60"/>
              <w:rPr>
                <w:rFonts w:cs="Arial"/>
              </w:rPr>
            </w:pPr>
            <w:r>
              <w:rPr>
                <w:rFonts w:cs="Arial"/>
              </w:rPr>
              <w:t>(176 bitů)</w:t>
            </w:r>
          </w:p>
        </w:tc>
        <w:tc>
          <w:tcPr>
            <w:tcW w:w="1174" w:type="dxa"/>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doba začátku</w:t>
            </w:r>
          </w:p>
        </w:tc>
        <w:tc>
          <w:tcPr>
            <w:tcW w:w="1260" w:type="dxa"/>
            <w:gridSpan w:val="3"/>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doba ukončení</w:t>
            </w:r>
          </w:p>
        </w:tc>
        <w:tc>
          <w:tcPr>
            <w:tcW w:w="1620" w:type="dxa"/>
            <w:gridSpan w:val="4"/>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geografické (územní) omezení</w:t>
            </w:r>
          </w:p>
        </w:tc>
        <w:tc>
          <w:tcPr>
            <w:tcW w:w="1820" w:type="dxa"/>
            <w:tcBorders>
              <w:start w:val="single" w:sz="4" w:space="0" w:color="000000"/>
              <w:bottom w:val="single" w:sz="4" w:space="0" w:color="000000"/>
              <w:end w:val="single" w:sz="4" w:space="0" w:color="000000"/>
            </w:tcBorders>
            <w:vAlign w:val="center"/>
          </w:tcPr>
          <w:p>
            <w:pPr>
              <w:pStyle w:val="Texttabulky"/>
              <w:snapToGrid w:val="false"/>
              <w:spacing w:before="60" w:after="60"/>
              <w:rPr>
                <w:rFonts w:cs="Arial"/>
              </w:rPr>
            </w:pPr>
            <w:r>
              <w:rPr>
                <w:rFonts w:cs="Arial"/>
              </w:rPr>
              <w:t>omezení aplikací</w:t>
            </w:r>
          </w:p>
        </w:tc>
      </w:tr>
      <w:tr>
        <w:trPr>
          <w:cantSplit/>
        </w:trPr>
        <w:tc>
          <w:tcPr>
            <w:tcW w:w="720" w:type="dxa"/>
            <w:vMerge w:val="continue"/>
            <w:tcBorders>
              <w:start w:val="single" w:sz="4" w:space="0" w:color="000000"/>
              <w:bottom w:val="single" w:sz="4" w:space="0" w:color="000000"/>
            </w:tcBorders>
            <w:vAlign w:val="center"/>
          </w:tcPr>
          <w:p>
            <w:pPr>
              <w:pStyle w:val="Normal"/>
              <w:snapToGrid w:val="false"/>
              <w:rPr>
                <w:rFonts w:cs="Arial"/>
              </w:rPr>
            </w:pPr>
            <w:r>
              <w:rPr>
                <w:rFonts w:cs="Arial"/>
              </w:rPr>
            </w:r>
          </w:p>
        </w:tc>
        <w:tc>
          <w:tcPr>
            <w:tcW w:w="1346" w:type="dxa"/>
            <w:vMerge w:val="continue"/>
            <w:tcBorders>
              <w:start w:val="single" w:sz="4" w:space="0" w:color="000000"/>
              <w:bottom w:val="single" w:sz="4" w:space="0" w:color="000000"/>
            </w:tcBorders>
            <w:vAlign w:val="center"/>
          </w:tcPr>
          <w:p>
            <w:pPr>
              <w:pStyle w:val="Normal"/>
              <w:snapToGrid w:val="false"/>
              <w:rPr>
                <w:rFonts w:cs="Arial"/>
              </w:rPr>
            </w:pPr>
            <w:r>
              <w:rPr>
                <w:rFonts w:cs="Arial"/>
              </w:rPr>
            </w:r>
          </w:p>
        </w:tc>
        <w:tc>
          <w:tcPr>
            <w:tcW w:w="1174" w:type="dxa"/>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80</w:t>
            </w:r>
          </w:p>
        </w:tc>
        <w:tc>
          <w:tcPr>
            <w:tcW w:w="1260" w:type="dxa"/>
            <w:gridSpan w:val="3"/>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80</w:t>
            </w:r>
          </w:p>
        </w:tc>
        <w:tc>
          <w:tcPr>
            <w:tcW w:w="1620" w:type="dxa"/>
            <w:gridSpan w:val="4"/>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8</w:t>
            </w:r>
          </w:p>
        </w:tc>
        <w:tc>
          <w:tcPr>
            <w:tcW w:w="1820" w:type="dxa"/>
            <w:tcBorders>
              <w:start w:val="single" w:sz="4" w:space="0" w:color="000000"/>
              <w:bottom w:val="single" w:sz="4" w:space="0" w:color="000000"/>
              <w:end w:val="single" w:sz="4" w:space="0" w:color="000000"/>
            </w:tcBorders>
            <w:vAlign w:val="center"/>
          </w:tcPr>
          <w:p>
            <w:pPr>
              <w:pStyle w:val="Texttabulky"/>
              <w:snapToGrid w:val="false"/>
              <w:spacing w:before="60" w:after="60"/>
              <w:rPr>
                <w:rFonts w:cs="Arial"/>
              </w:rPr>
            </w:pPr>
            <w:r>
              <w:rPr>
                <w:rFonts w:cs="Arial"/>
              </w:rPr>
              <w:t>8</w:t>
            </w:r>
          </w:p>
        </w:tc>
      </w:tr>
      <w:tr>
        <w:trPr>
          <w:trHeight w:val="340" w:hRule="exact"/>
          <w:cantSplit/>
        </w:trPr>
        <w:tc>
          <w:tcPr>
            <w:tcW w:w="720" w:type="dxa"/>
            <w:vMerge w:val="restart"/>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4</w:t>
            </w:r>
          </w:p>
        </w:tc>
        <w:tc>
          <w:tcPr>
            <w:tcW w:w="1346" w:type="dxa"/>
            <w:vMerge w:val="restart"/>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proměnná</w:t>
            </w:r>
          </w:p>
        </w:tc>
        <w:tc>
          <w:tcPr>
            <w:tcW w:w="1534" w:type="dxa"/>
            <w:gridSpan w:val="2"/>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kód země</w:t>
            </w:r>
          </w:p>
        </w:tc>
        <w:tc>
          <w:tcPr>
            <w:tcW w:w="1980" w:type="dxa"/>
            <w:gridSpan w:val="4"/>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abecední indikátor</w:t>
            </w:r>
          </w:p>
        </w:tc>
        <w:tc>
          <w:tcPr>
            <w:tcW w:w="2360" w:type="dxa"/>
            <w:gridSpan w:val="3"/>
            <w:tcBorders>
              <w:start w:val="single" w:sz="4" w:space="0" w:color="000000"/>
              <w:bottom w:val="single" w:sz="4" w:space="0" w:color="000000"/>
              <w:end w:val="single" w:sz="4" w:space="0" w:color="000000"/>
            </w:tcBorders>
            <w:vAlign w:val="center"/>
          </w:tcPr>
          <w:p>
            <w:pPr>
              <w:pStyle w:val="Texttabulky"/>
              <w:snapToGrid w:val="false"/>
              <w:spacing w:before="60" w:after="60"/>
              <w:rPr>
                <w:rFonts w:cs="Arial"/>
              </w:rPr>
            </w:pPr>
            <w:r>
              <w:rPr>
                <w:rFonts w:cs="Arial"/>
              </w:rPr>
              <w:t>registrační značka</w:t>
            </w:r>
          </w:p>
        </w:tc>
      </w:tr>
      <w:tr>
        <w:trPr>
          <w:cantSplit/>
        </w:trPr>
        <w:tc>
          <w:tcPr>
            <w:tcW w:w="720" w:type="dxa"/>
            <w:vMerge w:val="continue"/>
            <w:tcBorders>
              <w:start w:val="single" w:sz="4" w:space="0" w:color="000000"/>
              <w:bottom w:val="single" w:sz="4" w:space="0" w:color="000000"/>
            </w:tcBorders>
            <w:vAlign w:val="center"/>
          </w:tcPr>
          <w:p>
            <w:pPr>
              <w:pStyle w:val="Normal"/>
              <w:snapToGrid w:val="false"/>
              <w:rPr>
                <w:rFonts w:cs="Arial"/>
              </w:rPr>
            </w:pPr>
            <w:r>
              <w:rPr>
                <w:rFonts w:cs="Arial"/>
              </w:rPr>
            </w:r>
          </w:p>
        </w:tc>
        <w:tc>
          <w:tcPr>
            <w:tcW w:w="1346" w:type="dxa"/>
            <w:vMerge w:val="continue"/>
            <w:tcBorders>
              <w:start w:val="single" w:sz="4" w:space="0" w:color="000000"/>
              <w:bottom w:val="single" w:sz="4" w:space="0" w:color="000000"/>
            </w:tcBorders>
            <w:vAlign w:val="center"/>
          </w:tcPr>
          <w:p>
            <w:pPr>
              <w:pStyle w:val="Normal"/>
              <w:snapToGrid w:val="false"/>
              <w:rPr>
                <w:rFonts w:cs="Arial"/>
              </w:rPr>
            </w:pPr>
            <w:r>
              <w:rPr>
                <w:rFonts w:cs="Arial"/>
              </w:rPr>
            </w:r>
          </w:p>
        </w:tc>
        <w:tc>
          <w:tcPr>
            <w:tcW w:w="1534" w:type="dxa"/>
            <w:gridSpan w:val="2"/>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10</w:t>
            </w:r>
          </w:p>
        </w:tc>
        <w:tc>
          <w:tcPr>
            <w:tcW w:w="1980" w:type="dxa"/>
            <w:gridSpan w:val="4"/>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6</w:t>
            </w:r>
          </w:p>
        </w:tc>
        <w:tc>
          <w:tcPr>
            <w:tcW w:w="2360" w:type="dxa"/>
            <w:gridSpan w:val="3"/>
            <w:tcBorders>
              <w:start w:val="single" w:sz="4" w:space="0" w:color="000000"/>
              <w:bottom w:val="single" w:sz="4" w:space="0" w:color="000000"/>
              <w:end w:val="single" w:sz="4" w:space="0" w:color="000000"/>
            </w:tcBorders>
            <w:vAlign w:val="center"/>
          </w:tcPr>
          <w:p>
            <w:pPr>
              <w:pStyle w:val="Texttabulky"/>
              <w:snapToGrid w:val="false"/>
              <w:spacing w:before="60" w:after="60"/>
              <w:rPr>
                <w:rFonts w:cs="Arial"/>
              </w:rPr>
            </w:pPr>
            <w:r>
              <w:rPr>
                <w:rFonts w:cs="Arial"/>
              </w:rPr>
              <w:t>nestanoveno</w:t>
            </w:r>
          </w:p>
        </w:tc>
      </w:tr>
      <w:tr>
        <w:trPr>
          <w:trHeight w:val="340" w:hRule="exact"/>
          <w:cantSplit/>
        </w:trPr>
        <w:tc>
          <w:tcPr>
            <w:tcW w:w="720" w:type="dxa"/>
            <w:vMerge w:val="restart"/>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5</w:t>
            </w:r>
          </w:p>
        </w:tc>
        <w:tc>
          <w:tcPr>
            <w:tcW w:w="1346" w:type="dxa"/>
            <w:vMerge w:val="restart"/>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17 bajtů</w:t>
            </w:r>
          </w:p>
          <w:p>
            <w:pPr>
              <w:pStyle w:val="Texttabulky"/>
              <w:spacing w:before="60" w:after="60"/>
              <w:rPr>
                <w:rFonts w:cs="Arial"/>
              </w:rPr>
            </w:pPr>
            <w:r>
              <w:rPr>
                <w:rFonts w:cs="Arial"/>
              </w:rPr>
              <w:t>(136 bitů)</w:t>
            </w:r>
          </w:p>
        </w:tc>
        <w:tc>
          <w:tcPr>
            <w:tcW w:w="5874" w:type="dxa"/>
            <w:gridSpan w:val="9"/>
            <w:tcBorders>
              <w:start w:val="single" w:sz="4" w:space="0" w:color="000000"/>
              <w:bottom w:val="single" w:sz="4" w:space="0" w:color="000000"/>
              <w:end w:val="single" w:sz="4" w:space="0" w:color="000000"/>
            </w:tcBorders>
            <w:vAlign w:val="center"/>
          </w:tcPr>
          <w:p>
            <w:pPr>
              <w:pStyle w:val="Texttabulky"/>
              <w:snapToGrid w:val="false"/>
              <w:spacing w:before="60" w:after="60"/>
              <w:rPr>
                <w:rFonts w:cs="Arial"/>
              </w:rPr>
            </w:pPr>
            <w:r>
              <w:rPr>
                <w:rFonts w:cs="Arial"/>
              </w:rPr>
              <w:t>Identifikační číslo karosérie (VIN)</w:t>
            </w:r>
          </w:p>
        </w:tc>
      </w:tr>
      <w:tr>
        <w:trPr>
          <w:cantSplit/>
        </w:trPr>
        <w:tc>
          <w:tcPr>
            <w:tcW w:w="720" w:type="dxa"/>
            <w:vMerge w:val="continue"/>
            <w:tcBorders>
              <w:start w:val="single" w:sz="4" w:space="0" w:color="000000"/>
              <w:bottom w:val="single" w:sz="4" w:space="0" w:color="000000"/>
            </w:tcBorders>
            <w:vAlign w:val="center"/>
          </w:tcPr>
          <w:p>
            <w:pPr>
              <w:pStyle w:val="Normal"/>
              <w:snapToGrid w:val="false"/>
              <w:rPr>
                <w:rFonts w:cs="Arial"/>
              </w:rPr>
            </w:pPr>
            <w:r>
              <w:rPr>
                <w:rFonts w:cs="Arial"/>
              </w:rPr>
            </w:r>
          </w:p>
        </w:tc>
        <w:tc>
          <w:tcPr>
            <w:tcW w:w="1346" w:type="dxa"/>
            <w:vMerge w:val="continue"/>
            <w:tcBorders>
              <w:start w:val="single" w:sz="4" w:space="0" w:color="000000"/>
              <w:bottom w:val="single" w:sz="4" w:space="0" w:color="000000"/>
            </w:tcBorders>
            <w:vAlign w:val="center"/>
          </w:tcPr>
          <w:p>
            <w:pPr>
              <w:pStyle w:val="Normal"/>
              <w:snapToGrid w:val="false"/>
              <w:rPr>
                <w:rFonts w:cs="Arial"/>
              </w:rPr>
            </w:pPr>
            <w:r>
              <w:rPr>
                <w:rFonts w:cs="Arial"/>
              </w:rPr>
            </w:r>
          </w:p>
        </w:tc>
        <w:tc>
          <w:tcPr>
            <w:tcW w:w="5874" w:type="dxa"/>
            <w:gridSpan w:val="9"/>
            <w:tcBorders>
              <w:start w:val="single" w:sz="4" w:space="0" w:color="000000"/>
              <w:bottom w:val="single" w:sz="4" w:space="0" w:color="000000"/>
              <w:end w:val="single" w:sz="4" w:space="0" w:color="000000"/>
            </w:tcBorders>
            <w:vAlign w:val="center"/>
          </w:tcPr>
          <w:p>
            <w:pPr>
              <w:pStyle w:val="Texttabulky"/>
              <w:snapToGrid w:val="false"/>
              <w:spacing w:before="60" w:after="60"/>
              <w:rPr>
                <w:rFonts w:cs="Arial"/>
              </w:rPr>
            </w:pPr>
            <w:r>
              <w:rPr>
                <w:rFonts w:cs="Arial"/>
              </w:rPr>
              <w:t>136</w:t>
            </w:r>
          </w:p>
        </w:tc>
      </w:tr>
      <w:tr>
        <w:trPr>
          <w:trHeight w:val="340" w:hRule="exact"/>
          <w:cantSplit/>
        </w:trPr>
        <w:tc>
          <w:tcPr>
            <w:tcW w:w="720" w:type="dxa"/>
            <w:vMerge w:val="restart"/>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6</w:t>
            </w:r>
          </w:p>
        </w:tc>
        <w:tc>
          <w:tcPr>
            <w:tcW w:w="1346" w:type="dxa"/>
            <w:vMerge w:val="restart"/>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proměnná</w:t>
            </w:r>
          </w:p>
        </w:tc>
        <w:tc>
          <w:tcPr>
            <w:tcW w:w="5874" w:type="dxa"/>
            <w:gridSpan w:val="9"/>
            <w:tcBorders>
              <w:start w:val="single" w:sz="4" w:space="0" w:color="000000"/>
              <w:bottom w:val="single" w:sz="4" w:space="0" w:color="000000"/>
              <w:end w:val="single" w:sz="4" w:space="0" w:color="000000"/>
            </w:tcBorders>
            <w:vAlign w:val="center"/>
          </w:tcPr>
          <w:p>
            <w:pPr>
              <w:pStyle w:val="Texttabulky"/>
              <w:snapToGrid w:val="false"/>
              <w:spacing w:before="60" w:after="60"/>
              <w:rPr>
                <w:rFonts w:cs="Arial"/>
              </w:rPr>
            </w:pPr>
            <w:r>
              <w:rPr>
                <w:rFonts w:cs="Arial"/>
              </w:rPr>
              <w:t>Rezervováno pro CEN/ISO</w:t>
            </w:r>
          </w:p>
        </w:tc>
      </w:tr>
      <w:tr>
        <w:trPr>
          <w:cantSplit/>
        </w:trPr>
        <w:tc>
          <w:tcPr>
            <w:tcW w:w="720" w:type="dxa"/>
            <w:vMerge w:val="continue"/>
            <w:tcBorders>
              <w:start w:val="single" w:sz="4" w:space="0" w:color="000000"/>
              <w:bottom w:val="single" w:sz="4" w:space="0" w:color="000000"/>
            </w:tcBorders>
            <w:vAlign w:val="center"/>
          </w:tcPr>
          <w:p>
            <w:pPr>
              <w:pStyle w:val="Normal"/>
              <w:snapToGrid w:val="false"/>
              <w:rPr>
                <w:rFonts w:cs="Arial"/>
              </w:rPr>
            </w:pPr>
            <w:r>
              <w:rPr>
                <w:rFonts w:cs="Arial"/>
              </w:rPr>
            </w:r>
          </w:p>
        </w:tc>
        <w:tc>
          <w:tcPr>
            <w:tcW w:w="1346" w:type="dxa"/>
            <w:vMerge w:val="continue"/>
            <w:tcBorders>
              <w:start w:val="single" w:sz="4" w:space="0" w:color="000000"/>
              <w:bottom w:val="single" w:sz="4" w:space="0" w:color="000000"/>
            </w:tcBorders>
            <w:vAlign w:val="center"/>
          </w:tcPr>
          <w:p>
            <w:pPr>
              <w:pStyle w:val="Normal"/>
              <w:snapToGrid w:val="false"/>
              <w:rPr>
                <w:rFonts w:cs="Arial"/>
              </w:rPr>
            </w:pPr>
            <w:r>
              <w:rPr>
                <w:rFonts w:cs="Arial"/>
              </w:rPr>
            </w:r>
          </w:p>
        </w:tc>
        <w:tc>
          <w:tcPr>
            <w:tcW w:w="5874" w:type="dxa"/>
            <w:gridSpan w:val="9"/>
            <w:tcBorders>
              <w:start w:val="single" w:sz="4" w:space="0" w:color="000000"/>
              <w:bottom w:val="single" w:sz="4" w:space="0" w:color="000000"/>
              <w:end w:val="single" w:sz="4" w:space="0" w:color="000000"/>
            </w:tcBorders>
            <w:vAlign w:val="center"/>
          </w:tcPr>
          <w:p>
            <w:pPr>
              <w:pStyle w:val="Texttabulky"/>
              <w:snapToGrid w:val="false"/>
              <w:spacing w:before="60" w:after="60"/>
              <w:rPr>
                <w:rFonts w:cs="Arial"/>
              </w:rPr>
            </w:pPr>
            <w:r>
              <w:rPr>
                <w:rFonts w:cs="Arial"/>
              </w:rPr>
              <w:t>Nestanoveno</w:t>
            </w:r>
          </w:p>
        </w:tc>
      </w:tr>
      <w:tr>
        <w:trPr>
          <w:trHeight w:val="340" w:hRule="exact"/>
          <w:cantSplit/>
        </w:trPr>
        <w:tc>
          <w:tcPr>
            <w:tcW w:w="720" w:type="dxa"/>
            <w:vMerge w:val="restart"/>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7</w:t>
            </w:r>
          </w:p>
        </w:tc>
        <w:tc>
          <w:tcPr>
            <w:tcW w:w="1346" w:type="dxa"/>
            <w:vMerge w:val="restart"/>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93 bitů</w:t>
            </w:r>
          </w:p>
        </w:tc>
        <w:tc>
          <w:tcPr>
            <w:tcW w:w="5874" w:type="dxa"/>
            <w:gridSpan w:val="9"/>
            <w:tcBorders>
              <w:start w:val="single" w:sz="4" w:space="0" w:color="000000"/>
              <w:bottom w:val="single" w:sz="4" w:space="0" w:color="000000"/>
              <w:end w:val="single" w:sz="4" w:space="0" w:color="000000"/>
            </w:tcBorders>
            <w:vAlign w:val="center"/>
          </w:tcPr>
          <w:p>
            <w:pPr>
              <w:pStyle w:val="Texttabulky"/>
              <w:snapToGrid w:val="false"/>
              <w:spacing w:before="60" w:after="60"/>
              <w:rPr>
                <w:rFonts w:cs="Arial"/>
              </w:rPr>
            </w:pPr>
            <w:r>
              <w:rPr>
                <w:rFonts w:cs="Arial"/>
              </w:rPr>
              <w:t xml:space="preserve">Číslování nákladních kontejnerů </w:t>
            </w:r>
          </w:p>
        </w:tc>
      </w:tr>
      <w:tr>
        <w:trPr>
          <w:cantSplit/>
        </w:trPr>
        <w:tc>
          <w:tcPr>
            <w:tcW w:w="720" w:type="dxa"/>
            <w:vMerge w:val="continue"/>
            <w:tcBorders>
              <w:start w:val="single" w:sz="4" w:space="0" w:color="000000"/>
              <w:bottom w:val="single" w:sz="4" w:space="0" w:color="000000"/>
            </w:tcBorders>
            <w:vAlign w:val="center"/>
          </w:tcPr>
          <w:p>
            <w:pPr>
              <w:pStyle w:val="Normal"/>
              <w:snapToGrid w:val="false"/>
              <w:rPr>
                <w:rFonts w:cs="Arial"/>
              </w:rPr>
            </w:pPr>
            <w:r>
              <w:rPr>
                <w:rFonts w:cs="Arial"/>
              </w:rPr>
            </w:r>
          </w:p>
        </w:tc>
        <w:tc>
          <w:tcPr>
            <w:tcW w:w="1346" w:type="dxa"/>
            <w:vMerge w:val="continue"/>
            <w:tcBorders>
              <w:start w:val="single" w:sz="4" w:space="0" w:color="000000"/>
              <w:bottom w:val="single" w:sz="4" w:space="0" w:color="000000"/>
            </w:tcBorders>
            <w:vAlign w:val="center"/>
          </w:tcPr>
          <w:p>
            <w:pPr>
              <w:pStyle w:val="Normal"/>
              <w:snapToGrid w:val="false"/>
              <w:rPr>
                <w:rFonts w:cs="Arial"/>
              </w:rPr>
            </w:pPr>
            <w:r>
              <w:rPr>
                <w:rFonts w:cs="Arial"/>
              </w:rPr>
            </w:r>
          </w:p>
        </w:tc>
        <w:tc>
          <w:tcPr>
            <w:tcW w:w="5874" w:type="dxa"/>
            <w:gridSpan w:val="9"/>
            <w:tcBorders>
              <w:start w:val="single" w:sz="4" w:space="0" w:color="000000"/>
              <w:bottom w:val="single" w:sz="4" w:space="0" w:color="000000"/>
              <w:end w:val="single" w:sz="4" w:space="0" w:color="000000"/>
            </w:tcBorders>
            <w:vAlign w:val="center"/>
          </w:tcPr>
          <w:p>
            <w:pPr>
              <w:pStyle w:val="Texttabulky"/>
              <w:snapToGrid w:val="false"/>
              <w:spacing w:before="60" w:after="60"/>
              <w:rPr>
                <w:rFonts w:cs="Arial"/>
              </w:rPr>
            </w:pPr>
            <w:r>
              <w:rPr>
                <w:rFonts w:cs="Arial"/>
              </w:rPr>
              <w:t>93</w:t>
            </w:r>
          </w:p>
        </w:tc>
      </w:tr>
      <w:tr>
        <w:trPr>
          <w:trHeight w:val="340" w:hRule="exact"/>
          <w:cantSplit/>
        </w:trPr>
        <w:tc>
          <w:tcPr>
            <w:tcW w:w="720" w:type="dxa"/>
            <w:vMerge w:val="restart"/>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8</w:t>
            </w:r>
          </w:p>
        </w:tc>
        <w:tc>
          <w:tcPr>
            <w:tcW w:w="1346" w:type="dxa"/>
            <w:vMerge w:val="restart"/>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proměnná</w:t>
            </w:r>
          </w:p>
        </w:tc>
        <w:tc>
          <w:tcPr>
            <w:tcW w:w="3503" w:type="dxa"/>
            <w:gridSpan w:val="5"/>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kód země</w:t>
            </w:r>
          </w:p>
        </w:tc>
        <w:tc>
          <w:tcPr>
            <w:tcW w:w="2371" w:type="dxa"/>
            <w:gridSpan w:val="4"/>
            <w:tcBorders>
              <w:start w:val="single" w:sz="4" w:space="0" w:color="000000"/>
              <w:bottom w:val="single" w:sz="4" w:space="0" w:color="000000"/>
              <w:end w:val="single" w:sz="4" w:space="0" w:color="000000"/>
            </w:tcBorders>
            <w:vAlign w:val="center"/>
          </w:tcPr>
          <w:p>
            <w:pPr>
              <w:pStyle w:val="Texttabulky"/>
              <w:snapToGrid w:val="false"/>
              <w:spacing w:before="60" w:after="60"/>
              <w:rPr>
                <w:rFonts w:cs="Arial"/>
              </w:rPr>
            </w:pPr>
            <w:r>
              <w:rPr>
                <w:rFonts w:cs="Arial"/>
              </w:rPr>
              <w:t>daňový kód</w:t>
            </w:r>
          </w:p>
        </w:tc>
      </w:tr>
      <w:tr>
        <w:trPr>
          <w:cantSplit/>
        </w:trPr>
        <w:tc>
          <w:tcPr>
            <w:tcW w:w="720" w:type="dxa"/>
            <w:vMerge w:val="continue"/>
            <w:tcBorders>
              <w:start w:val="single" w:sz="4" w:space="0" w:color="000000"/>
              <w:bottom w:val="single" w:sz="4" w:space="0" w:color="000000"/>
            </w:tcBorders>
            <w:vAlign w:val="center"/>
          </w:tcPr>
          <w:p>
            <w:pPr>
              <w:pStyle w:val="Normal"/>
              <w:snapToGrid w:val="false"/>
              <w:rPr>
                <w:rFonts w:cs="Arial"/>
              </w:rPr>
            </w:pPr>
            <w:r>
              <w:rPr>
                <w:rFonts w:cs="Arial"/>
              </w:rPr>
            </w:r>
          </w:p>
        </w:tc>
        <w:tc>
          <w:tcPr>
            <w:tcW w:w="1346" w:type="dxa"/>
            <w:vMerge w:val="continue"/>
            <w:tcBorders>
              <w:start w:val="single" w:sz="4" w:space="0" w:color="000000"/>
              <w:bottom w:val="single" w:sz="4" w:space="0" w:color="000000"/>
            </w:tcBorders>
            <w:vAlign w:val="center"/>
          </w:tcPr>
          <w:p>
            <w:pPr>
              <w:pStyle w:val="Normal"/>
              <w:snapToGrid w:val="false"/>
              <w:rPr>
                <w:rFonts w:cs="Arial"/>
              </w:rPr>
            </w:pPr>
            <w:r>
              <w:rPr>
                <w:rFonts w:cs="Arial"/>
              </w:rPr>
            </w:r>
          </w:p>
        </w:tc>
        <w:tc>
          <w:tcPr>
            <w:tcW w:w="3503" w:type="dxa"/>
            <w:gridSpan w:val="5"/>
            <w:tcBorders>
              <w:start w:val="single" w:sz="4" w:space="0" w:color="000000"/>
              <w:bottom w:val="single" w:sz="4" w:space="0" w:color="000000"/>
            </w:tcBorders>
            <w:vAlign w:val="center"/>
          </w:tcPr>
          <w:p>
            <w:pPr>
              <w:pStyle w:val="Texttabulky"/>
              <w:snapToGrid w:val="false"/>
              <w:spacing w:before="60" w:after="60"/>
              <w:rPr>
                <w:rFonts w:cs="Arial"/>
              </w:rPr>
            </w:pPr>
            <w:r>
              <w:rPr>
                <w:rFonts w:cs="Arial"/>
              </w:rPr>
              <w:t>10</w:t>
            </w:r>
          </w:p>
        </w:tc>
        <w:tc>
          <w:tcPr>
            <w:tcW w:w="2371" w:type="dxa"/>
            <w:gridSpan w:val="4"/>
            <w:tcBorders>
              <w:start w:val="single" w:sz="4" w:space="0" w:color="000000"/>
              <w:bottom w:val="single" w:sz="4" w:space="0" w:color="000000"/>
              <w:end w:val="single" w:sz="4" w:space="0" w:color="000000"/>
            </w:tcBorders>
            <w:vAlign w:val="center"/>
          </w:tcPr>
          <w:p>
            <w:pPr>
              <w:pStyle w:val="Texttabulky"/>
              <w:snapToGrid w:val="false"/>
              <w:spacing w:before="60" w:after="60"/>
              <w:rPr>
                <w:rFonts w:cs="Arial"/>
              </w:rPr>
            </w:pPr>
            <w:r>
              <w:rPr>
                <w:rFonts w:cs="Arial"/>
              </w:rPr>
              <w:t>nestanoveno</w:t>
            </w:r>
          </w:p>
        </w:tc>
      </w:tr>
    </w:tbl>
    <w:p>
      <w:pPr>
        <w:pStyle w:val="Normal"/>
        <w:rPr>
          <w:rFonts w:cs="Arial"/>
        </w:rPr>
      </w:pPr>
      <w:r>
        <w:rPr>
          <w:rFonts w:cs="Arial"/>
        </w:rPr>
      </w:r>
    </w:p>
    <w:p>
      <w:pPr>
        <w:pStyle w:val="Textnormy"/>
        <w:rPr>
          <w:lang w:bidi="zxx"/>
        </w:rPr>
      </w:pPr>
      <w:r>
        <w:rPr>
          <w:lang w:bidi="zxx"/>
        </w:rPr>
        <w:t>Konkrétnímu popisu jednotlivých kódovacích struktur jsou věnovány samostatné články. Ty jsou rozděleny do částí, které obsahují obecné požadavky, popis prvků kódovací struktury a stanovení syntaxe celé struktury a jejích částí v jazyce ASN.1.</w:t>
      </w:r>
    </w:p>
    <w:p>
      <w:pPr>
        <w:pStyle w:val="Textnormy"/>
        <w:rPr>
          <w:b/>
        </w:rPr>
      </w:pPr>
      <w:r>
        <w:rPr>
          <w:b/>
        </w:rPr>
        <w:t xml:space="preserve">4.7 CS 1 – AVI/AEI číslovací schéma </w:t>
      </w:r>
    </w:p>
    <w:p>
      <w:pPr>
        <w:pStyle w:val="Textnormy"/>
        <w:rPr>
          <w:lang w:bidi="zxx"/>
        </w:rPr>
      </w:pPr>
      <w:r>
        <w:rPr>
          <w:lang w:bidi="zxx"/>
        </w:rPr>
        <w:t xml:space="preserve">Struktura CS1 je hlavní číslovací schéma AVI/AEI a umožňuje jednoznačnou identifikaci. Tuto strukturu je možno efektivně využít v mnoha konstruktech. Struktura umožňuje přidělit 256 jednoznačných identifikátorů, které se skládají z datových položek obsahujících kód země, identifikátor vydavatele a tzv. servisní číslo (jednoznačné v rámci číslování vydavatele). </w:t>
      </w:r>
    </w:p>
    <w:p>
      <w:pPr>
        <w:pStyle w:val="Textnormy"/>
        <w:rPr>
          <w:b/>
        </w:rPr>
      </w:pPr>
      <w:r>
        <w:rPr>
          <w:b/>
        </w:rPr>
        <w:t xml:space="preserve">4.8 CS 2 – Číslo výrobce </w:t>
      </w:r>
    </w:p>
    <w:p>
      <w:pPr>
        <w:pStyle w:val="Textnormy"/>
        <w:rPr>
          <w:lang w:bidi="zxx"/>
        </w:rPr>
      </w:pPr>
      <w:r>
        <w:rPr>
          <w:lang w:bidi="zxx"/>
        </w:rPr>
        <w:t>Struktura CS2 je druhou hlavní číslovací strukturou AVI/AEI a umožňuje jednoznačnou identifikaci bez závislosti na zemi použití (není nutný identifikátor Vydavatele); místo identifikátoru vydavatele se používá identifikátor výrobce, přidělovaný centrálně. CS2 může být použita jako skrytá identita zařízení. Struktura se skládá z datových položek obsahujících identifikátor výrobce a tzv. servisní číslo (jednoznačné v rámci číslování výrobce).</w:t>
      </w:r>
    </w:p>
    <w:p>
      <w:pPr>
        <w:pStyle w:val="Textnormy"/>
        <w:rPr>
          <w:b/>
        </w:rPr>
      </w:pPr>
      <w:r>
        <w:rPr>
          <w:b/>
        </w:rPr>
        <w:t xml:space="preserve">4.9 CS3 – Omezení platnosti </w:t>
      </w:r>
    </w:p>
    <w:p>
      <w:pPr>
        <w:pStyle w:val="Textnormy"/>
        <w:rPr>
          <w:lang w:bidi="zxx"/>
        </w:rPr>
      </w:pPr>
      <w:r>
        <w:rPr>
          <w:lang w:bidi="zxx"/>
        </w:rPr>
        <w:t xml:space="preserve">Struktura CS3 obsahuje položky pro omezení platnosti přidruženého vydaného identifikátoru. Omezení platnosti má aspekty časové (zahájení-ukončení), geografické (oblast platnosti) a aplikační (pro jaké aplikace platí). Struktura se skládá z datových položek obsahujících začátek a konec platnosti, geografické a aplikační omezení. </w:t>
      </w:r>
    </w:p>
    <w:p>
      <w:pPr>
        <w:pStyle w:val="Textnormy"/>
        <w:rPr>
          <w:b/>
        </w:rPr>
      </w:pPr>
      <w:r>
        <w:rPr>
          <w:b/>
        </w:rPr>
        <w:t xml:space="preserve">4.10 CS4 – Kódování čísla registrační značky </w:t>
      </w:r>
    </w:p>
    <w:p>
      <w:pPr>
        <w:pStyle w:val="Textnormy"/>
        <w:rPr>
          <w:spacing w:val="-2"/>
          <w:lang w:bidi="zxx"/>
        </w:rPr>
      </w:pPr>
      <w:r>
        <w:rPr>
          <w:spacing w:val="-2"/>
          <w:lang w:bidi="zxx"/>
        </w:rPr>
        <w:t>Struktura CS4 obsahuje reprezentaci registrační značky vozidla. Struktura se skládá z datových položek obsahujících kód země, identifikátor použité abecedy a vlastní zápis registrační značky vozidla.</w:t>
      </w:r>
    </w:p>
    <w:p>
      <w:pPr>
        <w:pStyle w:val="Textnormy"/>
        <w:rPr>
          <w:b/>
        </w:rPr>
      </w:pPr>
      <w:r>
        <w:rPr>
          <w:b/>
        </w:rPr>
        <w:t xml:space="preserve">4.11 CS5 – Identifikační číslo karosérie (VIN) </w:t>
      </w:r>
    </w:p>
    <w:p>
      <w:pPr>
        <w:pStyle w:val="Textnormy"/>
        <w:rPr>
          <w:lang w:bidi="zxx"/>
        </w:rPr>
      </w:pPr>
      <w:r>
        <w:rPr>
          <w:lang w:bidi="zxx"/>
        </w:rPr>
        <w:t>Struktura CS5 obsahuje reprezentaci identifikačního čísla karosérie VIN, jak je stanoveno v ISO 3779 a ISO 3780. Struktura se skládá z datových položek obsahujících celosvětový identifikátor výrobce, sekci deskriptoru vozidla a sekci indikátoru vozidla.</w:t>
      </w:r>
    </w:p>
    <w:p>
      <w:pPr>
        <w:pStyle w:val="Textnormy"/>
        <w:rPr>
          <w:b/>
        </w:rPr>
      </w:pPr>
      <w:r>
        <w:rPr>
          <w:b/>
        </w:rPr>
        <w:t xml:space="preserve">4.13 CS7 – Číslování nákladních kontejnerů </w:t>
      </w:r>
    </w:p>
    <w:p>
      <w:pPr>
        <w:pStyle w:val="Textnormy"/>
        <w:rPr>
          <w:lang w:bidi="zxx"/>
        </w:rPr>
      </w:pPr>
      <w:r>
        <w:rPr>
          <w:lang w:bidi="zxx"/>
        </w:rPr>
        <w:t>Struktura CS7 (struktura CS6 je zatím nestanovena) obsahuje číslování nákladních kontejnerů dle ISO 10374 a ISO 6346. Struktura se skládá z datových položek obsahujících kód vlastníka, sériové číslo, kontrolní součet, délku, výšku a šířku kontejneru, kód typu, maximální plně zatíženou váhu a váhu prázdného kontejneru.</w:t>
      </w:r>
    </w:p>
    <w:p>
      <w:pPr>
        <w:pStyle w:val="Textnormy"/>
        <w:rPr>
          <w:b/>
        </w:rPr>
      </w:pPr>
      <w:r>
        <w:rPr>
          <w:b/>
        </w:rPr>
        <w:t xml:space="preserve">4.14 CS8 – Kód daňového úřadu </w:t>
      </w:r>
    </w:p>
    <w:p>
      <w:pPr>
        <w:pStyle w:val="Textnormy"/>
        <w:rPr>
          <w:lang w:bidi="zxx"/>
        </w:rPr>
      </w:pPr>
      <w:r>
        <w:rPr>
          <w:lang w:bidi="zxx"/>
        </w:rPr>
        <w:t>Struktura CS8 obsahuje kód daňového úřadu, sloužící pro stanovení výše cla/daně. Struktura se skládá z datových položek obsahujících kód země a daňový kód.</w:t>
      </w:r>
    </w:p>
    <w:p>
      <w:pPr>
        <w:pStyle w:val="Textnormy"/>
        <w:rPr>
          <w:b/>
          <w:sz w:val="22"/>
          <w:szCs w:val="22"/>
        </w:rPr>
      </w:pPr>
      <w:r>
        <w:rPr>
          <w:b/>
          <w:sz w:val="22"/>
          <w:szCs w:val="22"/>
        </w:rPr>
        <w:t>Příloha A (normativní) Management a obecná pravidla pro administraci kódových struktur CS1, CS2 a CS8</w:t>
      </w:r>
    </w:p>
    <w:p>
      <w:pPr>
        <w:pStyle w:val="Textnormy"/>
        <w:rPr>
          <w:rFonts w:cs="Arial"/>
          <w:lang w:bidi="zxx"/>
        </w:rPr>
      </w:pPr>
      <w:r>
        <w:rPr>
          <w:lang w:bidi="zxx"/>
        </w:rPr>
        <w:t xml:space="preserve">V normativní příloze A je popsán postup pro správu a přidělování identifikátorů ke strukturám CS1, CS2 a CS8. Tato příloha v článku A.1 stanovuje hierarchii úřadů (administrátorů) pro přidělování identifikátorů tak, jak je uvedeno na obrázku 1. Hlavní důraz je kladen na zachování konzistence při přidělování identifikátorů, aby nemohlo dojít k přidělení stejného identifikátoru více subjektům zároveň. Příloha A určuje tzv. „Centrálního registračního administrátora“ CRA se sídlem </w:t>
      </w:r>
      <w:r>
        <w:rPr>
          <w:rFonts w:cs="Arial"/>
          <w:lang w:bidi="zxx"/>
        </w:rPr>
        <w:t>(NNI): P.O.Box 5059, NL-2600 GB Delft, The Netherlands.</w:t>
      </w:r>
    </w:p>
    <w:p>
      <w:pPr>
        <w:pStyle w:val="Textnormy"/>
        <w:rPr>
          <w:lang w:bidi="zxx"/>
        </w:rPr>
      </w:pPr>
      <w:r>
        <w:rPr>
          <w:lang w:bidi="zxx"/>
        </w:rPr>
        <w:t>Příloha definuje termíny „Národní registrační administrátor Vydavatelů (NRA/I)“, „Vydavatel“, „Registr Vydavatelů“, „Národní registrační administrátor daňových úřadů (NRA/T)“, „Registr daňových úřadů“ a „Centrální registrační administrátor (CRA)“.</w:t>
      </w:r>
    </w:p>
    <w:p>
      <w:pPr>
        <w:pStyle w:val="Textnormy"/>
        <w:rPr>
          <w:lang w:bidi="zxx"/>
        </w:rPr>
      </w:pPr>
      <w:r>
        <w:rPr>
          <w:lang w:bidi="zxx"/>
        </w:rPr>
        <w:t>Článek A.2 popisuje žádost a registrační procesy CS1 pro vydavatele. Stanovuje práva a povinnosti vydavatele a kritéria pro schválení žádosti o přidělení identifikátoru vydavatele CS1 národním registračním administrátorem vydavatelů (NAR/I). Dále tento článek obsahuje práva a povinnosti NRA/I; ten mimo jiné musí udržovat a zveřejňovat seznam přidělených identifikátorů vydavatele.</w:t>
      </w:r>
    </w:p>
    <w:p>
      <w:pPr>
        <w:pStyle w:val="Normal"/>
        <w:jc w:val="center"/>
        <w:rPr>
          <w:rFonts w:cs="Arial"/>
        </w:rPr>
      </w:pPr>
      <w:r>
        <w:rPr>
          <w:rFonts w:cs="Arial"/>
        </w:rPr>
        <w:drawing>
          <wp:inline distT="0" distB="0" distL="0" distR="0">
            <wp:extent cx="4645660" cy="327533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rcRect l="-9" t="-12" r="-9" b="-12"/>
                    <a:stretch>
                      <a:fillRect/>
                    </a:stretch>
                  </pic:blipFill>
                  <pic:spPr bwMode="auto">
                    <a:xfrm>
                      <a:off x="0" y="0"/>
                      <a:ext cx="4645660" cy="3275330"/>
                    </a:xfrm>
                    <a:prstGeom prst="rect">
                      <a:avLst/>
                    </a:prstGeom>
                    <a:noFill/>
                  </pic:spPr>
                </pic:pic>
              </a:graphicData>
            </a:graphic>
          </wp:inline>
        </w:drawing>
      </w:r>
    </w:p>
    <w:p>
      <w:pPr>
        <w:pStyle w:val="Normal"/>
        <w:jc w:val="center"/>
        <w:rPr>
          <w:rFonts w:cs="Arial"/>
          <w:b/>
        </w:rPr>
      </w:pPr>
      <w:r>
        <w:rPr>
          <w:rFonts w:cs="Arial"/>
          <w:b/>
          <w:iCs/>
        </w:rPr>
        <w:t>Obrázek A.1</w:t>
      </w:r>
      <w:r>
        <w:rPr>
          <w:rFonts w:cs="Arial"/>
          <w:b/>
        </w:rPr>
        <w:t xml:space="preserve"> – Rozvržení hierarchie registrace</w:t>
      </w:r>
    </w:p>
    <w:p>
      <w:pPr>
        <w:pStyle w:val="Textnormy"/>
        <w:rPr>
          <w:lang w:bidi="zxx"/>
        </w:rPr>
      </w:pPr>
      <w:r>
        <w:rPr>
          <w:rFonts w:cs="Arial"/>
          <w:b/>
          <w:lang w:bidi="zxx"/>
        </w:rPr>
      </w:r>
    </w:p>
    <w:p>
      <w:pPr>
        <w:pStyle w:val="Textnormy"/>
        <w:rPr>
          <w:lang w:bidi="zxx"/>
        </w:rPr>
      </w:pPr>
      <w:r>
        <w:rPr>
          <w:lang w:bidi="zxx"/>
        </w:rPr>
        <w:t>Článek A.3 podrobně popisuje žádost a registrační procesy pro CS8: daňové kódy. Uvádí, kdo přiděluje identifikátory pro CS8 v rámci každého státu (předpoklady), jeho povinnosti a působnost. Dále stanovuje, kým jsou v této normě rozuměny „Daňové úřady“, a přesně popisuje identifikátor daňového úřadu.</w:t>
      </w:r>
    </w:p>
    <w:p>
      <w:pPr>
        <w:pStyle w:val="Textnormy"/>
        <w:rPr>
          <w:lang w:bidi="zxx"/>
        </w:rPr>
      </w:pPr>
      <w:r>
        <w:rPr>
          <w:lang w:bidi="zxx"/>
        </w:rPr>
        <w:t>V článku A.4 jsou stanoveny postupy pro přidělení identifikátoru výrobce CS2. Obsah tohoto článku je obdobný jako v článku A.2, ovšem je zde vypuštěna celostátní úroveň, protože ta není k udělení identifikátoru výrobce nutná. Identifikátory výrobců přiděluje, spravuje a publikuje CRA.</w:t>
      </w:r>
    </w:p>
    <w:p>
      <w:pPr>
        <w:pStyle w:val="Textnormy"/>
        <w:rPr>
          <w:lang w:bidi="zxx"/>
        </w:rPr>
      </w:pPr>
      <w:r>
        <w:rPr>
          <w:lang w:bidi="zxx"/>
        </w:rPr>
        <w:t>Další velmi důležitou částí této přílohy je dovětek o správním poplatku za přidělení a udržování identifikátorů (čl. A.5) a vyvázání ze zodpovědnosti za neoprávněné použití přiděleného identifikátoru třetí osobou (čl. A.6).</w:t>
      </w:r>
    </w:p>
    <w:p>
      <w:pPr>
        <w:pStyle w:val="Textnormy"/>
        <w:rPr>
          <w:b/>
          <w:sz w:val="22"/>
          <w:szCs w:val="22"/>
        </w:rPr>
      </w:pPr>
      <w:r>
        <w:rPr>
          <w:b/>
          <w:sz w:val="22"/>
          <w:szCs w:val="22"/>
        </w:rPr>
        <w:t>Příloha B (normativní) Shrnutí definic kódovacích schémat</w:t>
      </w:r>
    </w:p>
    <w:p>
      <w:pPr>
        <w:pStyle w:val="Textnormy"/>
        <w:rPr>
          <w:lang w:bidi="zxx"/>
        </w:rPr>
      </w:pPr>
      <w:r>
        <w:rPr>
          <w:lang w:bidi="zxx"/>
        </w:rPr>
        <w:t xml:space="preserve">Obsahuje shrnutí syntaxe kódových struktur v jazyku ASN.1 tak, aby je bylo možné importovat do dalších aplikačních modulů a norem dopravní telematiky. </w:t>
      </w:r>
    </w:p>
    <w:p>
      <w:pPr>
        <w:pStyle w:val="Textnormy"/>
        <w:rPr>
          <w:lang w:bidi="zxx"/>
        </w:rPr>
      </w:pPr>
      <w:r>
        <w:rPr>
          <w:lang w:bidi="zxx"/>
        </w:rPr>
        <w:t>Uvádíme příklad pro datovou struktur CS4:</w:t>
      </w:r>
    </w:p>
    <w:p>
      <w:pPr>
        <w:pStyle w:val="Textnormy"/>
        <w:rPr>
          <w:rFonts w:ascii="Courier New" w:hAnsi="Courier New" w:cs="Courier New"/>
        </w:rPr>
      </w:pPr>
      <w:r>
        <w:rPr>
          <w:rFonts w:cs="Courier New" w:ascii="Courier New" w:hAnsi="Courier New"/>
        </w:rPr>
        <w:t>CS4 ::= SEQUENCE {</w:t>
      </w:r>
    </w:p>
    <w:p>
      <w:pPr>
        <w:pStyle w:val="Textnormy"/>
        <w:rPr>
          <w:rFonts w:ascii="Courier New" w:hAnsi="Courier New" w:cs="Courier New"/>
        </w:rPr>
      </w:pPr>
      <w:r>
        <w:rPr>
          <w:rFonts w:cs="Courier New" w:ascii="Courier New" w:hAnsi="Courier New"/>
        </w:rPr>
        <w:tab/>
        <w:t>countryCode</w:t>
        <w:tab/>
        <w:t xml:space="preserve">CountryCode, </w:t>
      </w:r>
    </w:p>
    <w:p>
      <w:pPr>
        <w:pStyle w:val="Textnormy"/>
        <w:rPr>
          <w:rFonts w:ascii="Courier New" w:hAnsi="Courier New" w:cs="Courier New"/>
        </w:rPr>
      </w:pPr>
      <w:r>
        <w:rPr>
          <w:rFonts w:cs="Courier New" w:ascii="Courier New" w:hAnsi="Courier New"/>
        </w:rPr>
        <w:tab/>
        <w:t>alphabetIndicator</w:t>
        <w:tab/>
        <w:t>AlphabetIndicator,</w:t>
      </w:r>
    </w:p>
    <w:p>
      <w:pPr>
        <w:pStyle w:val="Textnormy"/>
        <w:rPr>
          <w:rFonts w:ascii="Courier New" w:hAnsi="Courier New" w:cs="Courier New"/>
        </w:rPr>
      </w:pPr>
      <w:r>
        <w:rPr>
          <w:rFonts w:cs="Courier New" w:ascii="Courier New" w:hAnsi="Courier New"/>
        </w:rPr>
        <w:tab/>
        <w:t>licPlateNumber</w:t>
        <w:tab/>
        <w:t>OCTET STRING</w:t>
      </w:r>
    </w:p>
    <w:p>
      <w:pPr>
        <w:pStyle w:val="Textnormy"/>
        <w:rPr>
          <w:rFonts w:ascii="Courier New" w:hAnsi="Courier New" w:cs="Courier New"/>
        </w:rPr>
      </w:pPr>
      <w:r>
        <w:rPr>
          <w:rFonts w:cs="Courier New" w:ascii="Courier New" w:hAnsi="Courier New"/>
        </w:rPr>
        <w:t>}</w:t>
      </w:r>
    </w:p>
    <w:p>
      <w:pPr>
        <w:pStyle w:val="Textnormy"/>
        <w:rPr>
          <w:b/>
          <w:sz w:val="22"/>
          <w:szCs w:val="22"/>
        </w:rPr>
      </w:pPr>
      <w:r>
        <w:rPr>
          <w:rFonts w:cs="Courier New" w:ascii="Courier New" w:hAnsi="Courier New"/>
          <w:b/>
          <w:sz w:val="22"/>
          <w:szCs w:val="22"/>
        </w:rPr>
      </w:r>
    </w:p>
    <w:p>
      <w:pPr>
        <w:pStyle w:val="Textnormy"/>
        <w:rPr>
          <w:b/>
          <w:sz w:val="22"/>
          <w:szCs w:val="22"/>
        </w:rPr>
      </w:pPr>
      <w:r>
        <w:rPr>
          <w:b/>
          <w:sz w:val="22"/>
          <w:szCs w:val="22"/>
        </w:rPr>
      </w:r>
    </w:p>
    <w:p>
      <w:pPr>
        <w:pStyle w:val="Textnormy"/>
        <w:rPr>
          <w:b/>
          <w:sz w:val="22"/>
          <w:szCs w:val="22"/>
        </w:rPr>
      </w:pPr>
      <w:r>
        <w:rPr>
          <w:b/>
          <w:sz w:val="22"/>
          <w:szCs w:val="22"/>
        </w:rPr>
        <w:t>Příloha C (informativní) Příklady použití kódových struktur AVI/AEI</w:t>
      </w:r>
    </w:p>
    <w:p>
      <w:pPr>
        <w:pStyle w:val="Textnormy"/>
        <w:rPr>
          <w:lang w:bidi="zxx"/>
        </w:rPr>
      </w:pPr>
      <w:r>
        <w:rPr>
          <w:lang w:bidi="zxx"/>
        </w:rPr>
        <w:t>Uvádí konkrétní příklady použití identifikátorů, přesný zápis syntaxe v binární podobě pomocí pravidel PER či BER stanovených v jazyce ASN.1 a binární zápis abecedy dle ITA 2 z ISO 3166-1.</w:t>
      </w:r>
    </w:p>
    <w:p>
      <w:pPr>
        <w:pStyle w:val="Textnormy"/>
        <w:rPr>
          <w:lang w:bidi="zxx"/>
        </w:rPr>
      </w:pPr>
      <w:r>
        <w:rPr>
          <w:lang w:bidi="zxx"/>
        </w:rPr>
        <w:t>Uvádíme příklad zakódování malého celého čísla. Zpráva ITS (ITSMessage) je malé celé číslo (smallint), jak je to definováno v předchozím modulu, a je nastavena na hodnotu 10.</w:t>
      </w:r>
    </w:p>
    <w:p>
      <w:pPr>
        <w:pStyle w:val="Textnormy"/>
        <w:jc w:val="start"/>
        <w:rPr>
          <w:rFonts w:ascii="Courier New" w:hAnsi="Courier New" w:cs="Courier New"/>
        </w:rPr>
      </w:pPr>
      <w:r>
        <w:rPr>
          <w:rFonts w:cs="Courier New" w:ascii="Courier New" w:hAnsi="Courier New"/>
        </w:rPr>
        <w:t>value ITSMessage ::= usefulType : smallint : 10</w:t>
      </w:r>
    </w:p>
    <w:p>
      <w:pPr>
        <w:pStyle w:val="Textnormy"/>
        <w:rPr>
          <w:lang w:bidi="zxx"/>
        </w:rPr>
      </w:pPr>
      <w:r>
        <w:rPr>
          <w:lang w:bidi="zxx"/>
        </w:rPr>
        <w:t>Článek C.3 uvádí zakódování kódů země a jejich příklady.</w:t>
      </w:r>
    </w:p>
    <w:p>
      <w:pPr>
        <w:pStyle w:val="NadpisTabObr"/>
        <w:rPr/>
      </w:pPr>
      <w:r>
        <w:rPr/>
        <w:t>Tabulka C3 – ITA-2 abeceda</w:t>
      </w:r>
    </w:p>
    <w:tbl>
      <w:tblPr>
        <w:tblW w:w="6464" w:type="dxa"/>
        <w:jc w:val="center"/>
        <w:tblInd w:w="0" w:type="dxa"/>
        <w:tblLayout w:type="fixed"/>
        <w:tblCellMar>
          <w:top w:w="0" w:type="dxa"/>
          <w:start w:w="108" w:type="dxa"/>
          <w:bottom w:w="0" w:type="dxa"/>
          <w:end w:w="108" w:type="dxa"/>
        </w:tblCellMar>
      </w:tblPr>
      <w:tblGrid>
        <w:gridCol w:w="830"/>
        <w:gridCol w:w="2410"/>
        <w:gridCol w:w="884"/>
        <w:gridCol w:w="2340"/>
      </w:tblGrid>
      <w:tr>
        <w:trPr>
          <w:tblHeader w:val="true"/>
          <w:trHeight w:val="397" w:hRule="atLeast"/>
        </w:trPr>
        <w:tc>
          <w:tcPr>
            <w:tcW w:w="830" w:type="dxa"/>
            <w:tcBorders>
              <w:top w:val="single" w:sz="18" w:space="0" w:color="000000"/>
              <w:start w:val="single" w:sz="18" w:space="0" w:color="000000"/>
              <w:bottom w:val="single" w:sz="18" w:space="0" w:color="000000"/>
              <w:end w:val="double" w:sz="6" w:space="0" w:color="000000"/>
            </w:tcBorders>
            <w:vAlign w:val="center"/>
          </w:tcPr>
          <w:p>
            <w:pPr>
              <w:pStyle w:val="Texttabulky"/>
              <w:spacing w:before="60" w:after="60"/>
              <w:rPr>
                <w:b/>
              </w:rPr>
            </w:pPr>
            <w:r>
              <w:rPr>
                <w:b/>
              </w:rPr>
              <w:t>Znak</w:t>
            </w:r>
          </w:p>
        </w:tc>
        <w:tc>
          <w:tcPr>
            <w:tcW w:w="2410" w:type="dxa"/>
            <w:tcBorders>
              <w:top w:val="single" w:sz="18" w:space="0" w:color="000000"/>
              <w:start w:val="double" w:sz="6" w:space="0" w:color="000000"/>
              <w:bottom w:val="single" w:sz="18" w:space="0" w:color="000000"/>
              <w:end w:val="single" w:sz="18" w:space="0" w:color="000000"/>
            </w:tcBorders>
            <w:vAlign w:val="center"/>
          </w:tcPr>
          <w:p>
            <w:pPr>
              <w:pStyle w:val="Texttabulky"/>
              <w:spacing w:before="60" w:after="60"/>
              <w:rPr>
                <w:b/>
              </w:rPr>
            </w:pPr>
            <w:r>
              <w:rPr>
                <w:b/>
              </w:rPr>
              <w:t>Binární hodnota</w:t>
            </w:r>
          </w:p>
        </w:tc>
        <w:tc>
          <w:tcPr>
            <w:tcW w:w="884" w:type="dxa"/>
            <w:tcBorders>
              <w:top w:val="single" w:sz="18" w:space="0" w:color="000000"/>
              <w:start w:val="single" w:sz="18" w:space="0" w:color="000000"/>
              <w:bottom w:val="single" w:sz="18" w:space="0" w:color="000000"/>
              <w:end w:val="double" w:sz="6" w:space="0" w:color="000000"/>
            </w:tcBorders>
            <w:vAlign w:val="center"/>
          </w:tcPr>
          <w:p>
            <w:pPr>
              <w:pStyle w:val="Texttabulky"/>
              <w:spacing w:before="60" w:after="60"/>
              <w:rPr>
                <w:b/>
              </w:rPr>
            </w:pPr>
            <w:r>
              <w:rPr>
                <w:b/>
              </w:rPr>
              <w:t>Znak</w:t>
            </w:r>
          </w:p>
        </w:tc>
        <w:tc>
          <w:tcPr>
            <w:tcW w:w="2340" w:type="dxa"/>
            <w:tcBorders>
              <w:top w:val="single" w:sz="18" w:space="0" w:color="000000"/>
              <w:start w:val="double" w:sz="6" w:space="0" w:color="000000"/>
              <w:bottom w:val="single" w:sz="18" w:space="0" w:color="000000"/>
              <w:end w:val="single" w:sz="18" w:space="0" w:color="000000"/>
            </w:tcBorders>
            <w:vAlign w:val="center"/>
          </w:tcPr>
          <w:p>
            <w:pPr>
              <w:pStyle w:val="Texttabulky"/>
              <w:spacing w:before="60" w:after="60"/>
              <w:rPr>
                <w:b/>
              </w:rPr>
            </w:pPr>
            <w:r>
              <w:rPr>
                <w:b/>
              </w:rPr>
              <w:t>Binární hodnota</w:t>
            </w:r>
          </w:p>
        </w:tc>
      </w:tr>
      <w:tr>
        <w:trPr>
          <w:trHeight w:val="397" w:hRule="atLeast"/>
        </w:trPr>
        <w:tc>
          <w:tcPr>
            <w:tcW w:w="830" w:type="dxa"/>
            <w:tcBorders>
              <w:top w:val="single" w:sz="18" w:space="0" w:color="000000"/>
              <w:start w:val="single" w:sz="18" w:space="0" w:color="000000"/>
              <w:bottom w:val="single" w:sz="6" w:space="0" w:color="000000"/>
              <w:end w:val="double" w:sz="6" w:space="0" w:color="000000"/>
            </w:tcBorders>
            <w:vAlign w:val="center"/>
          </w:tcPr>
          <w:p>
            <w:pPr>
              <w:pStyle w:val="Texttabulky"/>
              <w:spacing w:before="60" w:after="60"/>
              <w:rPr/>
            </w:pPr>
            <w:r>
              <w:rPr/>
              <w:t>A</w:t>
            </w:r>
          </w:p>
        </w:tc>
        <w:tc>
          <w:tcPr>
            <w:tcW w:w="2410" w:type="dxa"/>
            <w:tcBorders>
              <w:top w:val="single" w:sz="18" w:space="0" w:color="000000"/>
              <w:start w:val="double" w:sz="6" w:space="0" w:color="000000"/>
              <w:bottom w:val="single" w:sz="6" w:space="0" w:color="000000"/>
              <w:end w:val="single" w:sz="18" w:space="0" w:color="000000"/>
            </w:tcBorders>
            <w:vAlign w:val="center"/>
          </w:tcPr>
          <w:p>
            <w:pPr>
              <w:pStyle w:val="Texttabulky"/>
              <w:spacing w:before="60" w:after="60"/>
              <w:rPr/>
            </w:pPr>
            <w:r>
              <w:rPr/>
              <w:t>11000</w:t>
            </w:r>
          </w:p>
        </w:tc>
        <w:tc>
          <w:tcPr>
            <w:tcW w:w="884" w:type="dxa"/>
            <w:tcBorders>
              <w:top w:val="single" w:sz="18" w:space="0" w:color="000000"/>
              <w:start w:val="single" w:sz="18" w:space="0" w:color="000000"/>
              <w:bottom w:val="single" w:sz="6" w:space="0" w:color="000000"/>
              <w:end w:val="double" w:sz="6" w:space="0" w:color="000000"/>
            </w:tcBorders>
            <w:vAlign w:val="center"/>
          </w:tcPr>
          <w:p>
            <w:pPr>
              <w:pStyle w:val="Header"/>
              <w:spacing w:before="0" w:after="120"/>
              <w:rPr/>
            </w:pPr>
            <w:r>
              <w:rPr/>
              <w:t>C</w:t>
            </w:r>
          </w:p>
        </w:tc>
        <w:tc>
          <w:tcPr>
            <w:tcW w:w="2340" w:type="dxa"/>
            <w:tcBorders>
              <w:top w:val="single" w:sz="18" w:space="0" w:color="000000"/>
              <w:start w:val="double" w:sz="6" w:space="0" w:color="000000"/>
              <w:bottom w:val="single" w:sz="6" w:space="0" w:color="000000"/>
              <w:end w:val="single" w:sz="18" w:space="0" w:color="000000"/>
            </w:tcBorders>
            <w:vAlign w:val="center"/>
          </w:tcPr>
          <w:p>
            <w:pPr>
              <w:pStyle w:val="Header"/>
              <w:spacing w:before="0" w:after="120"/>
              <w:rPr/>
            </w:pPr>
            <w:r>
              <w:rPr/>
              <w:t>01110</w:t>
            </w:r>
          </w:p>
        </w:tc>
      </w:tr>
      <w:tr>
        <w:trPr>
          <w:trHeight w:val="397" w:hRule="atLeast"/>
        </w:trPr>
        <w:tc>
          <w:tcPr>
            <w:tcW w:w="830" w:type="dxa"/>
            <w:tcBorders>
              <w:top w:val="single" w:sz="6" w:space="0" w:color="000000"/>
              <w:start w:val="single" w:sz="18" w:space="0" w:color="000000"/>
              <w:bottom w:val="single" w:sz="18" w:space="0" w:color="000000"/>
              <w:end w:val="double" w:sz="6" w:space="0" w:color="000000"/>
            </w:tcBorders>
            <w:vAlign w:val="center"/>
          </w:tcPr>
          <w:p>
            <w:pPr>
              <w:pStyle w:val="Texttabulky"/>
              <w:spacing w:before="60" w:after="60"/>
              <w:rPr/>
            </w:pPr>
            <w:r>
              <w:rPr/>
              <w:t>B</w:t>
            </w:r>
          </w:p>
        </w:tc>
        <w:tc>
          <w:tcPr>
            <w:tcW w:w="2410" w:type="dxa"/>
            <w:tcBorders>
              <w:top w:val="single" w:sz="6" w:space="0" w:color="000000"/>
              <w:start w:val="double" w:sz="6" w:space="0" w:color="000000"/>
              <w:bottom w:val="single" w:sz="18" w:space="0" w:color="000000"/>
              <w:end w:val="single" w:sz="18" w:space="0" w:color="000000"/>
            </w:tcBorders>
            <w:vAlign w:val="center"/>
          </w:tcPr>
          <w:p>
            <w:pPr>
              <w:pStyle w:val="Texttabulky"/>
              <w:spacing w:before="60" w:after="60"/>
              <w:rPr/>
            </w:pPr>
            <w:r>
              <w:rPr/>
              <w:t>10011</w:t>
            </w:r>
          </w:p>
        </w:tc>
        <w:tc>
          <w:tcPr>
            <w:tcW w:w="884" w:type="dxa"/>
            <w:tcBorders>
              <w:top w:val="single" w:sz="6" w:space="0" w:color="000000"/>
              <w:start w:val="single" w:sz="18" w:space="0" w:color="000000"/>
              <w:bottom w:val="single" w:sz="18" w:space="0" w:color="000000"/>
              <w:end w:val="double" w:sz="6" w:space="0" w:color="000000"/>
            </w:tcBorders>
            <w:vAlign w:val="center"/>
          </w:tcPr>
          <w:p>
            <w:pPr>
              <w:pStyle w:val="Texttabulky"/>
              <w:spacing w:before="60" w:after="60"/>
              <w:rPr/>
            </w:pPr>
            <w:r>
              <w:rPr/>
              <w:t>Z</w:t>
            </w:r>
          </w:p>
        </w:tc>
        <w:tc>
          <w:tcPr>
            <w:tcW w:w="2340" w:type="dxa"/>
            <w:tcBorders>
              <w:top w:val="single" w:sz="6" w:space="0" w:color="000000"/>
              <w:start w:val="double" w:sz="6" w:space="0" w:color="000000"/>
              <w:bottom w:val="single" w:sz="18" w:space="0" w:color="000000"/>
              <w:end w:val="single" w:sz="18" w:space="0" w:color="000000"/>
            </w:tcBorders>
            <w:vAlign w:val="center"/>
          </w:tcPr>
          <w:p>
            <w:pPr>
              <w:pStyle w:val="Texttabulky"/>
              <w:spacing w:before="60" w:after="60"/>
              <w:rPr/>
            </w:pPr>
            <w:r>
              <w:rPr/>
              <w:t>10001</w:t>
            </w:r>
          </w:p>
        </w:tc>
      </w:tr>
    </w:tbl>
    <w:p>
      <w:pPr>
        <w:pStyle w:val="Textnormy"/>
        <w:rPr/>
      </w:pPr>
      <w:r>
        <w:rPr/>
      </w:r>
    </w:p>
    <w:p>
      <w:pPr>
        <w:pStyle w:val="NadpisTabObr"/>
        <w:rPr/>
      </w:pPr>
      <w:r>
        <w:rPr/>
        <w:t>Tabulka C4 – Příklady binárních kódů zemí</w:t>
      </w:r>
    </w:p>
    <w:tbl>
      <w:tblPr>
        <w:tblW w:w="6480" w:type="dxa"/>
        <w:jc w:val="center"/>
        <w:tblInd w:w="0" w:type="dxa"/>
        <w:tblLayout w:type="fixed"/>
        <w:tblCellMar>
          <w:top w:w="0" w:type="dxa"/>
          <w:start w:w="108" w:type="dxa"/>
          <w:bottom w:w="0" w:type="dxa"/>
          <w:end w:w="108" w:type="dxa"/>
        </w:tblCellMar>
      </w:tblPr>
      <w:tblGrid>
        <w:gridCol w:w="2057"/>
        <w:gridCol w:w="2297"/>
        <w:gridCol w:w="2126"/>
      </w:tblGrid>
      <w:tr>
        <w:trPr>
          <w:trHeight w:val="340" w:hRule="atLeast"/>
        </w:trPr>
        <w:tc>
          <w:tcPr>
            <w:tcW w:w="2057" w:type="dxa"/>
            <w:tcBorders>
              <w:top w:val="single" w:sz="18" w:space="0" w:color="000000"/>
              <w:start w:val="single" w:sz="18" w:space="0" w:color="000000"/>
              <w:bottom w:val="single" w:sz="18" w:space="0" w:color="000000"/>
              <w:end w:val="double" w:sz="6" w:space="0" w:color="000000"/>
            </w:tcBorders>
            <w:vAlign w:val="center"/>
          </w:tcPr>
          <w:p>
            <w:pPr>
              <w:pStyle w:val="Texttabulky"/>
              <w:spacing w:before="60" w:after="60"/>
              <w:rPr>
                <w:b/>
              </w:rPr>
            </w:pPr>
            <w:r>
              <w:rPr>
                <w:b/>
              </w:rPr>
              <w:t xml:space="preserve">   </w:t>
            </w:r>
            <w:r>
              <w:rPr>
                <w:b/>
              </w:rPr>
              <w:t>Stát</w:t>
            </w:r>
          </w:p>
        </w:tc>
        <w:tc>
          <w:tcPr>
            <w:tcW w:w="2297" w:type="dxa"/>
            <w:tcBorders>
              <w:top w:val="single" w:sz="18" w:space="0" w:color="000000"/>
              <w:start w:val="double" w:sz="6" w:space="0" w:color="000000"/>
              <w:bottom w:val="single" w:sz="18" w:space="0" w:color="000000"/>
              <w:end w:val="double" w:sz="6" w:space="0" w:color="000000"/>
            </w:tcBorders>
            <w:vAlign w:val="center"/>
          </w:tcPr>
          <w:p>
            <w:pPr>
              <w:pStyle w:val="Texttabulky"/>
              <w:spacing w:before="60" w:after="60"/>
              <w:rPr>
                <w:b/>
              </w:rPr>
            </w:pPr>
            <w:r>
              <w:rPr>
                <w:b/>
              </w:rPr>
              <w:t>Kód dle ISO 3166</w:t>
            </w:r>
          </w:p>
        </w:tc>
        <w:tc>
          <w:tcPr>
            <w:tcW w:w="2126" w:type="dxa"/>
            <w:tcBorders>
              <w:top w:val="single" w:sz="18" w:space="0" w:color="000000"/>
              <w:start w:val="double" w:sz="6" w:space="0" w:color="000000"/>
              <w:bottom w:val="single" w:sz="18" w:space="0" w:color="000000"/>
              <w:end w:val="single" w:sz="18" w:space="0" w:color="000000"/>
            </w:tcBorders>
            <w:vAlign w:val="center"/>
          </w:tcPr>
          <w:p>
            <w:pPr>
              <w:pStyle w:val="Texttabulky"/>
              <w:spacing w:before="60" w:after="60"/>
              <w:rPr>
                <w:b/>
              </w:rPr>
            </w:pPr>
            <w:r>
              <w:rPr>
                <w:b/>
              </w:rPr>
              <w:t>ITA.2 (10 bitů)</w:t>
            </w:r>
          </w:p>
        </w:tc>
      </w:tr>
      <w:tr>
        <w:trPr>
          <w:trHeight w:val="340" w:hRule="atLeast"/>
        </w:trPr>
        <w:tc>
          <w:tcPr>
            <w:tcW w:w="2057" w:type="dxa"/>
            <w:tcBorders>
              <w:top w:val="single" w:sz="18" w:space="0" w:color="000000"/>
              <w:start w:val="single" w:sz="18" w:space="0" w:color="000000"/>
              <w:bottom w:val="single" w:sz="6" w:space="0" w:color="000000"/>
              <w:end w:val="double" w:sz="6" w:space="0" w:color="000000"/>
            </w:tcBorders>
            <w:vAlign w:val="center"/>
          </w:tcPr>
          <w:p>
            <w:pPr>
              <w:pStyle w:val="Texttabulky"/>
              <w:spacing w:before="60" w:after="60"/>
              <w:rPr/>
            </w:pPr>
            <w:r>
              <w:rPr/>
              <w:t>Rakousko</w:t>
            </w:r>
          </w:p>
        </w:tc>
        <w:tc>
          <w:tcPr>
            <w:tcW w:w="2297" w:type="dxa"/>
            <w:tcBorders>
              <w:top w:val="single" w:sz="18" w:space="0" w:color="000000"/>
              <w:start w:val="double" w:sz="6" w:space="0" w:color="000000"/>
              <w:bottom w:val="single" w:sz="6" w:space="0" w:color="000000"/>
              <w:end w:val="double" w:sz="6" w:space="0" w:color="000000"/>
            </w:tcBorders>
            <w:vAlign w:val="center"/>
          </w:tcPr>
          <w:p>
            <w:pPr>
              <w:pStyle w:val="Texttabulky"/>
              <w:spacing w:before="60" w:after="60"/>
              <w:rPr/>
            </w:pPr>
            <w:r>
              <w:rPr/>
              <w:t>AT</w:t>
            </w:r>
          </w:p>
        </w:tc>
        <w:tc>
          <w:tcPr>
            <w:tcW w:w="2126" w:type="dxa"/>
            <w:tcBorders>
              <w:top w:val="single" w:sz="18" w:space="0" w:color="000000"/>
              <w:start w:val="double" w:sz="6" w:space="0" w:color="000000"/>
              <w:bottom w:val="single" w:sz="6" w:space="0" w:color="000000"/>
              <w:end w:val="single" w:sz="18" w:space="0" w:color="000000"/>
            </w:tcBorders>
            <w:vAlign w:val="center"/>
          </w:tcPr>
          <w:p>
            <w:pPr>
              <w:pStyle w:val="Texttabulky"/>
              <w:spacing w:before="60" w:after="60"/>
              <w:rPr/>
            </w:pPr>
            <w:r>
              <w:rPr/>
              <w:t>11000 00001</w:t>
            </w:r>
          </w:p>
        </w:tc>
      </w:tr>
      <w:tr>
        <w:trPr>
          <w:trHeight w:val="340" w:hRule="atLeast"/>
        </w:trPr>
        <w:tc>
          <w:tcPr>
            <w:tcW w:w="2057" w:type="dxa"/>
            <w:tcBorders>
              <w:top w:val="single" w:sz="6" w:space="0" w:color="000000"/>
              <w:start w:val="single" w:sz="18" w:space="0" w:color="000000"/>
              <w:bottom w:val="single" w:sz="18" w:space="0" w:color="000000"/>
              <w:end w:val="double" w:sz="6" w:space="0" w:color="000000"/>
            </w:tcBorders>
            <w:vAlign w:val="center"/>
          </w:tcPr>
          <w:p>
            <w:pPr>
              <w:pStyle w:val="Texttabulky"/>
              <w:spacing w:before="60" w:after="60"/>
              <w:rPr/>
            </w:pPr>
            <w:r>
              <w:rPr/>
              <w:t>Česká republika</w:t>
            </w:r>
          </w:p>
        </w:tc>
        <w:tc>
          <w:tcPr>
            <w:tcW w:w="2297" w:type="dxa"/>
            <w:tcBorders>
              <w:top w:val="single" w:sz="6" w:space="0" w:color="000000"/>
              <w:start w:val="double" w:sz="6" w:space="0" w:color="000000"/>
              <w:bottom w:val="single" w:sz="18" w:space="0" w:color="000000"/>
              <w:end w:val="double" w:sz="6" w:space="0" w:color="000000"/>
            </w:tcBorders>
            <w:vAlign w:val="center"/>
          </w:tcPr>
          <w:p>
            <w:pPr>
              <w:pStyle w:val="Texttabulky"/>
              <w:spacing w:before="60" w:after="60"/>
              <w:rPr/>
            </w:pPr>
            <w:r>
              <w:rPr/>
              <w:t>CZ</w:t>
            </w:r>
          </w:p>
        </w:tc>
        <w:tc>
          <w:tcPr>
            <w:tcW w:w="2126" w:type="dxa"/>
            <w:tcBorders>
              <w:top w:val="single" w:sz="6" w:space="0" w:color="000000"/>
              <w:start w:val="double" w:sz="6" w:space="0" w:color="000000"/>
              <w:bottom w:val="single" w:sz="18" w:space="0" w:color="000000"/>
              <w:end w:val="single" w:sz="18" w:space="0" w:color="000000"/>
            </w:tcBorders>
            <w:vAlign w:val="center"/>
          </w:tcPr>
          <w:p>
            <w:pPr>
              <w:pStyle w:val="Texttabulky"/>
              <w:spacing w:before="60" w:after="60"/>
              <w:rPr/>
            </w:pPr>
            <w:r>
              <w:rPr/>
              <w:t>01110 10001</w:t>
            </w:r>
          </w:p>
        </w:tc>
      </w:tr>
    </w:tbl>
    <w:p>
      <w:pPr>
        <w:pStyle w:val="Textnormy"/>
        <w:tabs>
          <w:tab w:val="clear" w:pos="708"/>
          <w:tab w:val="right" w:pos="9923" w:leader="none"/>
        </w:tabs>
        <w:rPr/>
      </w:pPr>
      <w:r>
        <w:rPr/>
      </w:r>
    </w:p>
    <w:p>
      <w:pPr>
        <w:pStyle w:val="Normal"/>
        <w:rPr/>
      </w:pPr>
      <w:r>
        <w:rPr/>
      </w:r>
    </w:p>
    <w:sectPr>
      <w:footerReference w:type="default" r:id="rId8"/>
      <w:type w:val="nextPage"/>
      <w:pgSz w:w="11906" w:h="16838"/>
      <w:pgMar w:left="1417" w:right="1417"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Wingdings">
    <w:charset w:val="02"/>
    <w:family w:val="auto"/>
    <w:pitch w:val="variable"/>
  </w:font>
  <w:font w:name="Wingdings 2">
    <w:charset w:val="02"/>
    <w:family w:val="roman"/>
    <w:pitch w:val="variable"/>
  </w:font>
  <w:font w:name="StarSymbol">
    <w:altName w:val="Arial Unicode MS"/>
    <w:charset w:val="ee" w:characterSet="windows-1250"/>
    <w:family w:val="auto"/>
    <w:pitch w:val="default"/>
  </w:font>
  <w:font w:name="Liberation Sans">
    <w:altName w:val="Arial"/>
    <w:charset w:val="01" w:characterSet="utf-8"/>
    <w:family w:val="swiss"/>
    <w:pitch w:val="variable"/>
  </w:font>
  <w:font w:name="Times New Roman">
    <w:charset w:val="ee" w:characterSet="windows-1250"/>
    <w:family w:val="roman"/>
    <w:pitch w:val="variable"/>
  </w:font>
  <w:font w:name="Tahoma">
    <w:charset w:val="ee" w:characterSet="windows-1250"/>
    <w:family w:val="swiss"/>
    <w:pitch w:val="variable"/>
  </w:font>
  <w:font w:name="Courier New">
    <w:charset w:val="ee" w:characterSet="windows-1250"/>
    <w:family w:val="modern"/>
    <w:pitch w:val="default"/>
  </w:font>
  <w:font w:name="Star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center</wp:align>
              </wp:positionH>
              <wp:positionV relativeFrom="paragraph">
                <wp:posOffset>635</wp:posOffset>
              </wp:positionV>
              <wp:extent cx="71120" cy="146050"/>
              <wp:effectExtent l="0" t="0" r="0" b="0"/>
              <wp:wrapSquare wrapText="bothSides"/>
              <wp:docPr id="2" name="Frame1"/>
              <a:graphic xmlns:a="http://schemas.openxmlformats.org/drawingml/2006/main">
                <a:graphicData uri="http://schemas.microsoft.com/office/word/2010/wordprocessingShape">
                  <wps:wsp>
                    <wps:cNvSpPr txBox="1"/>
                    <wps:spPr>
                      <a:xfrm>
                        <a:off x="0" y="0"/>
                        <a:ext cx="71120" cy="14605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pt;height:11.5pt;mso-wrap-distance-left:0pt;mso-wrap-distance-right:0pt;mso-wrap-distance-top:0pt;mso-wrap-distance-bottom:0pt;margin-top:0.05pt;mso-position-vertical-relative:text;margin-left:224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480"/>
        </w:tabs>
        <w:ind w:start="480" w:hanging="360"/>
      </w:pPr>
      <w:rPr>
        <w:rFonts w:ascii="Arial" w:hAnsi="Arial" w:cs="Arial" w:hint="default"/>
        <w:sz w:val="18"/>
        <w:szCs w:val="18"/>
      </w:rPr>
    </w:lvl>
    <w:lvl w:ilvl="1">
      <w:start w:val="1"/>
      <w:numFmt w:val="bullet"/>
      <w:lvlText w:val=""/>
      <w:lvlJc w:val="start"/>
      <w:pPr>
        <w:tabs>
          <w:tab w:val="num" w:pos="1200"/>
        </w:tabs>
        <w:ind w:start="1200" w:hanging="360"/>
      </w:pPr>
      <w:rPr>
        <w:rFonts w:ascii="Wingdings 2" w:hAnsi="Wingdings 2" w:cs="Wingdings 2" w:hint="default"/>
        <w:sz w:val="18"/>
        <w:szCs w:val="18"/>
      </w:rPr>
    </w:lvl>
    <w:lvl w:ilvl="2">
      <w:start w:val="1"/>
      <w:numFmt w:val="bullet"/>
      <w:lvlText w:val="■"/>
      <w:lvlJc w:val="start"/>
      <w:pPr>
        <w:tabs>
          <w:tab w:val="num" w:pos="1920"/>
        </w:tabs>
        <w:ind w:start="1920" w:hanging="360"/>
      </w:pPr>
      <w:rPr>
        <w:rFonts w:ascii="StarSymbol" w:hAnsi="StarSymbol" w:cs="StarSymbol" w:hint="default"/>
        <w:sz w:val="18"/>
        <w:szCs w:val="18"/>
      </w:rPr>
    </w:lvl>
    <w:lvl w:ilvl="3">
      <w:start w:val="1"/>
      <w:numFmt w:val="bullet"/>
      <w:lvlText w:val=""/>
      <w:lvlJc w:val="start"/>
      <w:pPr>
        <w:tabs>
          <w:tab w:val="num" w:pos="2640"/>
        </w:tabs>
        <w:ind w:start="2640" w:hanging="360"/>
      </w:pPr>
      <w:rPr>
        <w:rFonts w:ascii="Wingdings" w:hAnsi="Wingdings" w:cs="Wingdings" w:hint="default"/>
        <w:sz w:val="18"/>
        <w:szCs w:val="18"/>
      </w:rPr>
    </w:lvl>
    <w:lvl w:ilvl="4">
      <w:start w:val="1"/>
      <w:numFmt w:val="bullet"/>
      <w:lvlText w:val=""/>
      <w:lvlJc w:val="start"/>
      <w:pPr>
        <w:tabs>
          <w:tab w:val="num" w:pos="3360"/>
        </w:tabs>
        <w:ind w:start="3360" w:hanging="360"/>
      </w:pPr>
      <w:rPr>
        <w:rFonts w:ascii="Wingdings 2" w:hAnsi="Wingdings 2" w:cs="Wingdings 2" w:hint="default"/>
        <w:sz w:val="18"/>
        <w:szCs w:val="18"/>
      </w:rPr>
    </w:lvl>
    <w:lvl w:ilvl="5">
      <w:start w:val="1"/>
      <w:numFmt w:val="bullet"/>
      <w:lvlText w:val="■"/>
      <w:lvlJc w:val="start"/>
      <w:pPr>
        <w:tabs>
          <w:tab w:val="num" w:pos="4080"/>
        </w:tabs>
        <w:ind w:start="4080" w:hanging="360"/>
      </w:pPr>
      <w:rPr>
        <w:rFonts w:ascii="StarSymbol" w:hAnsi="StarSymbol" w:cs="StarSymbol" w:hint="default"/>
        <w:sz w:val="18"/>
        <w:szCs w:val="18"/>
      </w:rPr>
    </w:lvl>
    <w:lvl w:ilvl="6">
      <w:start w:val="1"/>
      <w:numFmt w:val="bullet"/>
      <w:lvlText w:val=""/>
      <w:lvlJc w:val="start"/>
      <w:pPr>
        <w:tabs>
          <w:tab w:val="num" w:pos="4800"/>
        </w:tabs>
        <w:ind w:start="4800" w:hanging="360"/>
      </w:pPr>
      <w:rPr>
        <w:rFonts w:ascii="Wingdings" w:hAnsi="Wingdings" w:cs="Wingdings" w:hint="default"/>
        <w:sz w:val="18"/>
        <w:szCs w:val="18"/>
      </w:rPr>
    </w:lvl>
    <w:lvl w:ilvl="7">
      <w:start w:val="1"/>
      <w:numFmt w:val="bullet"/>
      <w:lvlText w:val=""/>
      <w:lvlJc w:val="start"/>
      <w:pPr>
        <w:tabs>
          <w:tab w:val="num" w:pos="5520"/>
        </w:tabs>
        <w:ind w:start="5520" w:hanging="360"/>
      </w:pPr>
      <w:rPr>
        <w:rFonts w:ascii="Wingdings 2" w:hAnsi="Wingdings 2" w:cs="Wingdings 2" w:hint="default"/>
        <w:sz w:val="18"/>
        <w:szCs w:val="18"/>
      </w:rPr>
    </w:lvl>
    <w:lvl w:ilvl="8">
      <w:start w:val="1"/>
      <w:numFmt w:val="bullet"/>
      <w:lvlText w:val="■"/>
      <w:lvlJc w:val="start"/>
      <w:pPr>
        <w:tabs>
          <w:tab w:val="num" w:pos="6240"/>
        </w:tabs>
        <w:ind w:start="6240" w:hanging="360"/>
      </w:pPr>
      <w:rPr>
        <w:rFonts w:ascii="StarSymbol" w:hAnsi="StarSymbol" w:cs="StarSymbol" w:hint="default"/>
        <w:sz w:val="18"/>
        <w:szCs w:val="18"/>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cs-CZ" w:bidi="ar-SA" w:eastAsia="zh-CN"/>
    </w:rPr>
  </w:style>
  <w:style w:type="paragraph" w:styleId="Heading1">
    <w:name w:val="heading 1"/>
    <w:basedOn w:val="Normal"/>
    <w:next w:val="BodyText"/>
    <w:qFormat/>
    <w:pPr>
      <w:keepNext w:val="true"/>
      <w:widowControl w:val="false"/>
      <w:numPr>
        <w:ilvl w:val="0"/>
        <w:numId w:val="1"/>
      </w:numPr>
      <w:suppressAutoHyphens w:val="true"/>
      <w:spacing w:before="240" w:after="120"/>
      <w:jc w:val="both"/>
      <w:outlineLvl w:val="0"/>
    </w:pPr>
    <w:rPr>
      <w:rFonts w:eastAsia="Lucida Sans Unicode" w:cs="Tahoma"/>
      <w:b/>
      <w:bCs/>
      <w:kern w:val="2"/>
      <w:sz w:val="32"/>
      <w:szCs w:val="32"/>
    </w:rPr>
  </w:style>
  <w:style w:type="paragraph" w:styleId="Heading3">
    <w:name w:val="heading 3"/>
    <w:basedOn w:val="Normal"/>
    <w:next w:val="Normal"/>
    <w:qFormat/>
    <w:pPr>
      <w:keepNext w:val="true"/>
      <w:spacing w:before="240" w:after="60"/>
      <w:outlineLvl w:val="2"/>
    </w:pPr>
    <w:rPr>
      <w:rFonts w:cs="Arial"/>
      <w:b/>
      <w:bCs/>
      <w:sz w:val="26"/>
      <w:szCs w:val="26"/>
    </w:rPr>
  </w:style>
  <w:style w:type="character" w:styleId="WW8Num2z0">
    <w:name w:val="WW8Num2z0"/>
    <w:qFormat/>
    <w:rPr>
      <w:rFonts w:ascii="Wingdings" w:hAnsi="Wingdings" w:cs="StarSymbol;Arial Unicode MS"/>
      <w:sz w:val="18"/>
      <w:szCs w:val="18"/>
    </w:rPr>
  </w:style>
  <w:style w:type="character" w:styleId="WW8Num2z1">
    <w:name w:val="WW8Num2z1"/>
    <w:qFormat/>
    <w:rPr>
      <w:rFonts w:ascii="Wingdings 2" w:hAnsi="Wingdings 2" w:cs="StarSymbol;Arial Unicode MS"/>
      <w:sz w:val="18"/>
      <w:szCs w:val="18"/>
    </w:rPr>
  </w:style>
  <w:style w:type="character" w:styleId="WW8Num2z2">
    <w:name w:val="WW8Num2z2"/>
    <w:qFormat/>
    <w:rPr>
      <w:rFonts w:ascii="StarSymbol;Arial Unicode MS" w:hAnsi="StarSymbol;Arial Unicode MS" w:cs="StarSymbol;Arial Unicode MS"/>
      <w:sz w:val="18"/>
      <w:szCs w:val="18"/>
    </w:rPr>
  </w:style>
  <w:style w:type="character" w:styleId="WW8Num3z0">
    <w:name w:val="WW8Num3z0"/>
    <w:qFormat/>
    <w:rPr>
      <w:rFonts w:ascii="Wingdings" w:hAnsi="Wingdings" w:cs="StarSymbol;Arial Unicode MS"/>
      <w:sz w:val="18"/>
      <w:szCs w:val="18"/>
    </w:rPr>
  </w:style>
  <w:style w:type="character" w:styleId="WW8Num3z1">
    <w:name w:val="WW8Num3z1"/>
    <w:qFormat/>
    <w:rPr>
      <w:rFonts w:ascii="Wingdings 2" w:hAnsi="Wingdings 2" w:cs="StarSymbol;Arial Unicode MS"/>
      <w:sz w:val="18"/>
      <w:szCs w:val="18"/>
    </w:rPr>
  </w:style>
  <w:style w:type="character" w:styleId="WW8Num3z2">
    <w:name w:val="WW8Num3z2"/>
    <w:qFormat/>
    <w:rPr>
      <w:rFonts w:ascii="StarSymbol;Arial Unicode MS" w:hAnsi="StarSymbol;Arial Unicode MS" w:cs="StarSymbol;Arial Unicode MS"/>
      <w:sz w:val="18"/>
      <w:szCs w:val="18"/>
    </w:rPr>
  </w:style>
  <w:style w:type="character" w:styleId="WW8Num4z0">
    <w:name w:val="WW8Num4z0"/>
    <w:qFormat/>
    <w:rPr>
      <w:rFonts w:ascii="Wingdings" w:hAnsi="Wingdings" w:cs="StarSymbol;Arial Unicode MS"/>
      <w:sz w:val="18"/>
      <w:szCs w:val="18"/>
    </w:rPr>
  </w:style>
  <w:style w:type="character" w:styleId="WW8Num4z1">
    <w:name w:val="WW8Num4z1"/>
    <w:qFormat/>
    <w:rPr>
      <w:rFonts w:ascii="Wingdings 2" w:hAnsi="Wingdings 2" w:cs="StarSymbol;Arial Unicode MS"/>
      <w:sz w:val="18"/>
      <w:szCs w:val="18"/>
    </w:rPr>
  </w:style>
  <w:style w:type="character" w:styleId="WW8Num4z2">
    <w:name w:val="WW8Num4z2"/>
    <w:qFormat/>
    <w:rPr>
      <w:rFonts w:ascii="StarSymbol;Arial Unicode MS" w:hAnsi="StarSymbol;Arial Unicode MS" w:cs="StarSymbol;Arial Unicode MS"/>
      <w:sz w:val="18"/>
      <w:szCs w:val="18"/>
    </w:rPr>
  </w:style>
  <w:style w:type="character" w:styleId="WW8Num5z0">
    <w:name w:val="WW8Num5z0"/>
    <w:qFormat/>
    <w:rPr>
      <w:rFonts w:ascii="Arial" w:hAnsi="Arial" w:cs="Arial"/>
      <w:sz w:val="18"/>
      <w:szCs w:val="18"/>
    </w:rPr>
  </w:style>
  <w:style w:type="character" w:styleId="WW8Num5z1">
    <w:name w:val="WW8Num5z1"/>
    <w:qFormat/>
    <w:rPr>
      <w:rFonts w:ascii="Wingdings 2" w:hAnsi="Wingdings 2" w:cs="StarSymbol;Arial Unicode MS"/>
      <w:sz w:val="18"/>
      <w:szCs w:val="18"/>
    </w:rPr>
  </w:style>
  <w:style w:type="character" w:styleId="WW8Num5z2">
    <w:name w:val="WW8Num5z2"/>
    <w:qFormat/>
    <w:rPr>
      <w:rFonts w:ascii="StarSymbol;Arial Unicode MS" w:hAnsi="StarSymbol;Arial Unicode MS" w:cs="StarSymbol;Arial Unicode MS"/>
      <w:sz w:val="18"/>
      <w:szCs w:val="18"/>
    </w:rPr>
  </w:style>
  <w:style w:type="character" w:styleId="WW8Num5z3">
    <w:name w:val="WW8Num5z3"/>
    <w:qFormat/>
    <w:rPr>
      <w:rFonts w:ascii="Wingdings" w:hAnsi="Wingdings" w:cs="StarSymbol;Arial Unicode MS"/>
      <w:sz w:val="18"/>
      <w:szCs w:val="18"/>
    </w:rPr>
  </w:style>
  <w:style w:type="character" w:styleId="WW8Num6z0">
    <w:name w:val="WW8Num6z0"/>
    <w:qFormat/>
    <w:rPr>
      <w:rFonts w:ascii="Arial" w:hAnsi="Arial" w:cs="Arial"/>
      <w:sz w:val="18"/>
      <w:szCs w:val="18"/>
    </w:rPr>
  </w:style>
  <w:style w:type="character" w:styleId="WW8Num6z1">
    <w:name w:val="WW8Num6z1"/>
    <w:qFormat/>
    <w:rPr>
      <w:rFonts w:ascii="Wingdings 2" w:hAnsi="Wingdings 2" w:cs="StarSymbol;Arial Unicode MS"/>
      <w:sz w:val="18"/>
      <w:szCs w:val="18"/>
    </w:rPr>
  </w:style>
  <w:style w:type="character" w:styleId="WW8Num6z2">
    <w:name w:val="WW8Num6z2"/>
    <w:qFormat/>
    <w:rPr>
      <w:rFonts w:ascii="StarSymbol;Arial Unicode MS" w:hAnsi="StarSymbol;Arial Unicode MS" w:cs="StarSymbol;Arial Unicode MS"/>
      <w:sz w:val="18"/>
      <w:szCs w:val="18"/>
    </w:rPr>
  </w:style>
  <w:style w:type="character" w:styleId="WW8Num6z3">
    <w:name w:val="WW8Num6z3"/>
    <w:qFormat/>
    <w:rPr>
      <w:rFonts w:ascii="Wingdings" w:hAnsi="Wingdings" w:cs="StarSymbol;Arial Unicode MS"/>
      <w:sz w:val="18"/>
      <w:szCs w:val="18"/>
    </w:rPr>
  </w:style>
  <w:style w:type="character" w:styleId="Standardnpsmoodstavce">
    <w:name w:val="Standardní písmo odstavce"/>
    <w:qFormat/>
    <w:rPr/>
  </w:style>
  <w:style w:type="character" w:styleId="TextnormyChar1">
    <w:name w:val="Text normy Char1"/>
    <w:basedOn w:val="Standardnpsmoodstavce"/>
    <w:qFormat/>
    <w:rPr>
      <w:rFonts w:ascii="Arial" w:hAnsi="Arial" w:cs="Arial"/>
      <w:lang w:val="cs-CZ" w:bidi="ar-SA"/>
    </w:rPr>
  </w:style>
  <w:style w:type="character" w:styleId="Hyperlink">
    <w:name w:val="Hyperlink"/>
    <w:rPr>
      <w:color w:val="000080"/>
      <w:u w:val="single"/>
    </w:rPr>
  </w:style>
  <w:style w:type="character" w:styleId="PageNumber">
    <w:name w:val="page number"/>
    <w:basedOn w:val="Standardnpsmoodstavce"/>
    <w:rPr/>
  </w:style>
  <w:style w:type="character" w:styleId="Odkaznakoment">
    <w:name w:val="Odkaz na komentář"/>
    <w:basedOn w:val="Standardnpsmoodstav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before="0" w:after="12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extnormy">
    <w:name w:val="Text normy"/>
    <w:qFormat/>
    <w:pPr>
      <w:widowControl/>
      <w:bidi w:val="0"/>
      <w:spacing w:before="0" w:after="120"/>
      <w:jc w:val="both"/>
    </w:pPr>
    <w:rPr>
      <w:rFonts w:ascii="Arial" w:hAnsi="Arial" w:eastAsia="Times New Roman" w:cs="Arial"/>
      <w:color w:val="auto"/>
      <w:sz w:val="20"/>
      <w:szCs w:val="20"/>
      <w:lang w:val="cs-CZ" w:bidi="ar-SA" w:eastAsia="zh-CN"/>
    </w:rPr>
  </w:style>
  <w:style w:type="paragraph" w:styleId="Nadpislnku">
    <w:name w:val="Nadpis článku"/>
    <w:basedOn w:val="Textnormy"/>
    <w:next w:val="Textnormy"/>
    <w:qFormat/>
    <w:pPr>
      <w:keepNext w:val="true"/>
      <w:keepLines/>
      <w:suppressAutoHyphens w:val="true"/>
      <w:spacing w:before="120" w:after="120"/>
      <w:jc w:val="start"/>
    </w:pPr>
    <w:rPr>
      <w:b/>
    </w:rPr>
  </w:style>
  <w:style w:type="paragraph" w:styleId="1StrTrZn">
    <w:name w:val="1StrTrZn"/>
    <w:basedOn w:val="Textnormy"/>
    <w:qFormat/>
    <w:pPr>
      <w:spacing w:lineRule="exact" w:line="340" w:before="80" w:after="80"/>
      <w:jc w:val="start"/>
    </w:pPr>
    <w:rPr>
      <w:sz w:val="28"/>
    </w:rPr>
  </w:style>
  <w:style w:type="paragraph" w:styleId="1StrNN-1-23">
    <w:name w:val="1StrNN-1-23"/>
    <w:basedOn w:val="Textnormy"/>
    <w:qFormat/>
    <w:pPr>
      <w:widowControl w:val="false"/>
      <w:suppressAutoHyphens w:val="true"/>
      <w:spacing w:lineRule="exact" w:line="340" w:before="640" w:after="0"/>
      <w:ind w:hanging="0" w:start="0" w:end="567"/>
      <w:jc w:val="start"/>
    </w:pPr>
    <w:rPr>
      <w:b/>
      <w:sz w:val="28"/>
    </w:rPr>
  </w:style>
  <w:style w:type="paragraph" w:styleId="Cizojazynnzev">
    <w:name w:val="Cizojazyčný název"/>
    <w:basedOn w:val="Textnormy"/>
    <w:qFormat/>
    <w:pPr>
      <w:widowControl w:val="false"/>
      <w:suppressAutoHyphens w:val="true"/>
      <w:jc w:val="start"/>
    </w:pPr>
    <w:rPr>
      <w:sz w:val="18"/>
    </w:rPr>
  </w:style>
  <w:style w:type="paragraph" w:styleId="Shodnost">
    <w:name w:val="Shodnost"/>
    <w:basedOn w:val="Textnormy"/>
    <w:next w:val="Textnormy"/>
    <w:qFormat/>
    <w:pPr>
      <w:keepNext w:val="true"/>
      <w:keepLines/>
      <w:tabs>
        <w:tab w:val="clear" w:pos="708"/>
        <w:tab w:val="right" w:pos="9923" w:leader="none"/>
      </w:tabs>
      <w:spacing w:before="240" w:after="360"/>
      <w:jc w:val="start"/>
    </w:pPr>
    <w:rPr>
      <w:sz w:val="28"/>
    </w:rPr>
  </w:style>
  <w:style w:type="paragraph" w:styleId="1Str1Rad">
    <w:name w:val="1Str1Rad"/>
    <w:basedOn w:val="Textnormy"/>
    <w:qFormat/>
    <w:pPr>
      <w:widowControl w:val="false"/>
      <w:tabs>
        <w:tab w:val="clear" w:pos="708"/>
        <w:tab w:val="left" w:pos="7371" w:leader="none"/>
        <w:tab w:val="right" w:pos="9866" w:leader="none"/>
      </w:tabs>
    </w:pPr>
    <w:rPr/>
  </w:style>
  <w:style w:type="paragraph" w:styleId="esknorma">
    <w:name w:val="Česká norma"/>
    <w:basedOn w:val="Textnormy"/>
    <w:next w:val="1Str1Rad"/>
    <w:qFormat/>
    <w:pPr>
      <w:spacing w:before="0" w:after="0"/>
      <w:jc w:val="start"/>
    </w:pPr>
    <w:rPr>
      <w:sz w:val="28"/>
    </w:rPr>
  </w:style>
  <w:style w:type="paragraph" w:styleId="1StrCN">
    <w:name w:val="1StrCN"/>
    <w:basedOn w:val="Textnormy"/>
    <w:next w:val="1StrTrZn"/>
    <w:qFormat/>
    <w:pPr>
      <w:spacing w:lineRule="exact" w:line="340" w:before="180" w:after="0"/>
      <w:jc w:val="start"/>
    </w:pPr>
    <w:rPr>
      <w:b/>
      <w:sz w:val="32"/>
      <w:lang w:val="en-US" w:eastAsia="en-US"/>
    </w:rPr>
  </w:style>
  <w:style w:type="paragraph" w:styleId="Tabulka">
    <w:name w:val="Tabulka"/>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Texttabulky">
    <w:name w:val="Text tabulky"/>
    <w:basedOn w:val="Textnormy"/>
    <w:qFormat/>
    <w:pPr>
      <w:suppressAutoHyphens w:val="true"/>
      <w:spacing w:before="60" w:after="60"/>
      <w:jc w:val="start"/>
    </w:pPr>
    <w:rPr>
      <w:rFonts w:eastAsia="Arial"/>
      <w:kern w:val="2"/>
      <w:sz w:val="18"/>
    </w:rPr>
  </w:style>
  <w:style w:type="paragraph" w:styleId="Ilustrace">
    <w:name w:val="Ilustrace"/>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NadpisTabObr">
    <w:name w:val="NadpisTabObr"/>
    <w:basedOn w:val="Nadpislnku"/>
    <w:next w:val="Textnormy"/>
    <w:qFormat/>
    <w:pPr>
      <w:keepNext w:val="false"/>
      <w:jc w:val="center"/>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Textnormy"/>
    <w:pPr/>
    <w:rPr>
      <w:sz w:val="18"/>
    </w:rPr>
  </w:style>
  <w:style w:type="paragraph" w:styleId="Footer">
    <w:name w:val="footer"/>
    <w:basedOn w:val="Normal"/>
    <w:pPr>
      <w:tabs>
        <w:tab w:val="clear" w:pos="708"/>
        <w:tab w:val="center" w:pos="4536" w:leader="none"/>
        <w:tab w:val="right" w:pos="9072" w:leader="none"/>
      </w:tabs>
    </w:pPr>
    <w:rPr/>
  </w:style>
  <w:style w:type="paragraph" w:styleId="Textkomente">
    <w:name w:val="Text komentáře"/>
    <w:basedOn w:val="Normal"/>
    <w:qFormat/>
    <w:pPr/>
    <w:rPr/>
  </w:style>
  <w:style w:type="paragraph" w:styleId="Textbubliny">
    <w:name w:val="Text bubliny"/>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ni.cz/NP/NotesPortalCNI.nsf/key/technicka_normalizace?Open" TargetMode="External"/><Relationship Id="rId3" Type="http://schemas.openxmlformats.org/officeDocument/2006/relationships/hyperlink" Target="http://www.cni.cz/NP/NotesPortalCNI.nsf/key/technicka_normalizace~informace_o_normach?Open" TargetMode="External"/><Relationship Id="rId4" Type="http://schemas.openxmlformats.org/officeDocument/2006/relationships/hyperlink" Target="http://www.cni.cz/NP/NotesPortalCNI.nsf/key/technicka_normalizace~informace_o_normach~e_byznys?Open" TargetMode="External"/><Relationship Id="rId5" Type="http://schemas.openxmlformats.org/officeDocument/2006/relationships/hyperlink" Target="http://www.cni.cz/NP/NotesPortalCNI.nsf/key/technicka_normalizace~informace_o_normach~e_byznys~registrace_oid__icd__rid__iin_a_obu?Open" TargetMode="External"/><Relationship Id="rId6" Type="http://schemas.openxmlformats.org/officeDocument/2006/relationships/hyperlink" Target="http://www.cni.cz/" TargetMode="External"/><Relationship Id="rId7" Type="http://schemas.openxmlformats.org/officeDocument/2006/relationships/image" Target="media/image1.png"/><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6</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2008-11-14T13:03:00Z</dcterms:created>
  <dc:creator>David Bárta</dc:creator>
  <dc:description/>
  <cp:keywords/>
  <dc:language>en-US</dc:language>
  <cp:lastModifiedBy>David Bárta</cp:lastModifiedBy>
  <cp:lastPrinted>2008-08-26T00:25:00Z</cp:lastPrinted>
  <dcterms:modified xsi:type="dcterms:W3CDTF">2008-11-14T13:03:00Z</dcterms:modified>
  <cp:revision>2</cp:revision>
  <dc:subject/>
  <dc:title>ČESKÁ TECHNICKÁ NORMA</dc:title>
</cp:coreProperties>
</file>