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emf" ContentType="image/x-emf"/>
  <Override PartName="/word/media/image5.emf" ContentType="image/x-em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Automatická identifikace vozidel, zařízení a nákladů – Intermodální/multimodální přeprava – Číslování a struktura dat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17262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01 8341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1.3.2005</w:t>
        <w:tab/>
        <w:t>25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norma je součástí souboru norem zaměřené na automatickou identifikaci vozidla, nákladu či položky zařízení pro </w:t>
      </w:r>
      <w:r>
        <w:rPr>
          <w:spacing w:val="-2"/>
        </w:rPr>
        <w:t>účely</w:t>
      </w:r>
      <w:r>
        <w:rPr/>
        <w:t xml:space="preserve"> telematických aplikací. Stanovuje číslování a strukturu dat v systému automatické identifikace nákladu a zařízení v multimodální/intermodální přepravě za použití bezdrátového rozhraní.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je důležitým rozšířením normy ISO 14816, která je nezbytná na celostátní úrovni pro přidělování identifikátoru vydavatele a stanovuje postupy jeho přidělování. </w:t>
      </w:r>
    </w:p>
    <w:p>
      <w:pPr>
        <w:pStyle w:val="Textnormy"/>
        <w:rPr/>
      </w:pPr>
      <w:r>
        <w:rPr>
          <w:b/>
        </w:rPr>
        <w:t xml:space="preserve">Pro orgány státní správy </w:t>
      </w:r>
      <w:r>
        <w:rPr/>
        <w:t>tato norma pouze odkazuje na svého předchůdce ISO 14816, kde jsou stanoveny postupy pro přidělování jednoznačných identifikátorů žadatelům, způsob jejich spravování a stanovena práva a povinnosti NRA/I vůči žadatelům a vůči CRA, který má sídlo v Holandsku.</w:t>
      </w:r>
    </w:p>
    <w:p>
      <w:pPr>
        <w:pStyle w:val="Textnormy"/>
        <w:rPr/>
      </w:pPr>
      <w:r>
        <w:rPr>
          <w:b/>
        </w:rPr>
        <w:t>Pro výrobce zařízení a dodavatele telematických systémů</w:t>
      </w:r>
      <w:r>
        <w:rPr/>
        <w:t xml:space="preserve"> tato norma obsahuje nové datové struktury. Zejména se jedná o strukturu CS9 a jednotlivých složek systému AVI/AEI: Manažer AEI, Čtečka, Zobrazovací jednotka a přepravovaný objekt resp. jeho TAG. Struktury CS1 až CS8 jsou obsahem předchozí normy ISO 14816.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Tato norma vychází z normy ISO 14816, která popisuje číslování a strukturu dat v modálním systému automatické identifikace AVI/AEI. Pro samotnou práci s touto normou je vhodné se seznámit s normami ISO/IEC 8824, ISO/IEC 8825-1, ISO/IEC 8825-2 a ISO/IEC 8825-3, případně s dalšími publikovanými pracemi na téma ASN.1, a to již před čtením hlavní části této mezinárodní normy.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Norma rozšiřuje číslování a datové struktury pro jednoznačnou identifikaci, stanovené v normě ISO 14816, o další struktury. Tato norma se věnuje jednotkám AVI/AEI. Krabice, malé nádoby a přepravované zboží jsou mimo rámec této normy. Obecně platí, že to, co je uvnitř nákladního prostoru, řeší skupina ISO/IEC JTC1 SC31, co je vně, to zase skupina CEN </w:t>
      </w:r>
      <w:r>
        <w:rPr>
          <w:spacing w:val="-2"/>
        </w:rPr>
        <w:t>TC278</w:t>
      </w:r>
      <w:r>
        <w:rPr/>
        <w:t xml:space="preserve"> WG12 společně s ISO TC204 WG4.</w:t>
      </w:r>
    </w:p>
    <w:p>
      <w:pPr>
        <w:pStyle w:val="Textnormy"/>
        <w:rPr/>
      </w:pPr>
      <w:r>
        <w:rPr/>
        <w:t xml:space="preserve">Tato norma stanovuje 10 nových </w:t>
      </w:r>
      <w:r>
        <w:rPr>
          <w:spacing w:val="-2"/>
        </w:rPr>
        <w:t>datových</w:t>
      </w:r>
      <w:r>
        <w:rPr/>
        <w:t xml:space="preserve"> typů pro multimodální/intermodální systém AVI/AEI, jedním z nových datových typů je kódovací struktura CS9 určená pro lehké kontejnery. Další datové typy popisují nezbytné datové struktury v jednotlivých složkách systému AVI/AEI (Manažer AEI, Čtečka, Displej a přepravovaný objekt resp. jeho TAG).</w:t>
      </w:r>
    </w:p>
    <w:p>
      <w:pPr>
        <w:pStyle w:val="Textnormy"/>
        <w:rPr/>
      </w:pPr>
      <w:r>
        <w:rPr/>
        <w:t>Kromě uvedených struktur obsahuje norma jeden normativní a dva informativní dodatky.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>
          <w:b/>
        </w:rPr>
        <w:t xml:space="preserve">3.1 manažer AEI </w:t>
      </w:r>
      <w:r>
        <w:rPr>
          <w:i/>
        </w:rPr>
        <w:t>(AEI manager)</w:t>
      </w:r>
      <w:r>
        <w:rPr>
          <w:b/>
        </w:rPr>
        <w:t xml:space="preserve"> </w:t>
      </w:r>
      <w:r>
        <w:rPr/>
        <w:t>součást, která přijímá data z čteček AEI a porovnává je s informacemi v databázi. Vygeneruje a přenese do zobrazovací jednotky zprávu "vše v pořádku" nebo "ve zprávě došlo k chybě".</w:t>
      </w:r>
    </w:p>
    <w:p>
      <w:pPr>
        <w:pStyle w:val="Textnormy"/>
        <w:rPr/>
      </w:pPr>
      <w:r>
        <w:rPr>
          <w:b/>
        </w:rPr>
        <w:t xml:space="preserve">3.2 čtečka </w:t>
      </w:r>
      <w:r>
        <w:rPr>
          <w:i/>
        </w:rPr>
        <w:t>(AEI reader)</w:t>
      </w:r>
      <w:r>
        <w:rPr>
          <w:b/>
        </w:rPr>
        <w:t xml:space="preserve"> </w:t>
      </w:r>
      <w:r>
        <w:rPr/>
        <w:t>kompletní zařízení, i když se skládá z víc než jedné součásti požadované k obousměrné komunikaci, přijmutí a interpretaci dat v TAGu za účelem zjištění identifikace.</w:t>
      </w:r>
    </w:p>
    <w:p>
      <w:pPr>
        <w:pStyle w:val="Textnormy"/>
        <w:rPr/>
      </w:pPr>
      <w:r>
        <w:rPr>
          <w:b/>
        </w:rPr>
        <w:t xml:space="preserve">3.5 intermodální přeprava </w:t>
      </w:r>
      <w:r>
        <w:rPr>
          <w:i/>
        </w:rPr>
        <w:t>(intermodal transport)</w:t>
      </w:r>
      <w:r>
        <w:rPr>
          <w:b/>
        </w:rPr>
        <w:t xml:space="preserve"> </w:t>
      </w:r>
      <w:r>
        <w:rPr/>
        <w:t>pohyb zboží v jedné nebo více přepravních jednotkách nebo vozidle, které postupně používá různé způsoby dopravy bez samotné manipulace se zbožím při procesu změny módu přepravy.</w:t>
      </w:r>
    </w:p>
    <w:p>
      <w:pPr>
        <w:pStyle w:val="Textnormy"/>
        <w:rPr/>
      </w:pPr>
      <w:r>
        <w:rPr/>
        <w:t xml:space="preserve">3.7 </w:t>
      </w:r>
      <w:r>
        <w:rPr>
          <w:b/>
        </w:rPr>
        <w:t xml:space="preserve">displej </w:t>
      </w:r>
      <w:r>
        <w:rPr>
          <w:i/>
        </w:rPr>
        <w:t>(message display)</w:t>
      </w:r>
      <w:r>
        <w:rPr>
          <w:b/>
        </w:rPr>
        <w:t xml:space="preserve"> </w:t>
      </w:r>
      <w:r>
        <w:rPr/>
        <w:t>přijímá data z manažera AEI, a zobrazuje je prostřednictvím proměnlivých symbolů řidiči.</w:t>
      </w:r>
    </w:p>
    <w:p>
      <w:pPr>
        <w:pStyle w:val="Textnormy"/>
        <w:rPr/>
      </w:pPr>
      <w:r>
        <w:rPr>
          <w:b/>
        </w:rPr>
        <w:t xml:space="preserve">3.8 TAG </w:t>
      </w:r>
      <w:r>
        <w:rPr>
          <w:i/>
        </w:rPr>
        <w:t>(TAG)</w:t>
      </w:r>
      <w:r>
        <w:rPr>
          <w:b/>
        </w:rPr>
        <w:t xml:space="preserve"> </w:t>
      </w:r>
      <w:r>
        <w:rPr/>
        <w:t>zařízení určené k identifikaci, zabudované do jednotky, vozidla nebo položky, které obsahuje jednoznačný identifikátor a v případě potřeby další doplňková data. Pro zvláštní účely může být TAG nainstalovaný na pevném místě a pohyblivá bude čtečka.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Kapitola 5 Složky AVI/AEI v intermodální přepravě zboží </w:t>
      </w:r>
    </w:p>
    <w:p>
      <w:pPr>
        <w:pStyle w:val="Textnormy"/>
        <w:rPr/>
      </w:pPr>
      <w:r>
        <w:rPr/>
        <w:t>Tato kapitola uvádí schéma (viz obrázek 1) jednotlivých složek systému AVI/AEI při intermodální/multimodální přepravě nákladu. Tyto složky jsou: Manažer AEI, Čtečka, Displej a přepravovaný objekt resp. jeho TAG.</w:t>
      </w:r>
    </w:p>
    <w:p>
      <w:pPr>
        <w:pStyle w:val="Heading2"/>
        <w:tabs>
          <w:tab w:val="clear" w:pos="708"/>
          <w:tab w:val="left" w:pos="0" w:leader="none"/>
        </w:tabs>
        <w:jc w:val="center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inline distT="0" distB="0" distL="0" distR="0">
            <wp:extent cx="5743575" cy="26193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 xml:space="preserve">Obrázek </w:t>
      </w:r>
      <w:r>
        <w:rPr/>
        <w:fldChar w:fldCharType="begin"/>
      </w:r>
      <w:r>
        <w:rPr/>
        <w:instrText xml:space="preserve"> SEQ Obrázek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Schéma složek systému AVI/AEI při intermodální/multimodální přepravě nákladu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Kapitola 6 Přehled datových definic </w:t>
      </w:r>
    </w:p>
    <w:p>
      <w:pPr>
        <w:pStyle w:val="Textnormy"/>
        <w:rPr/>
      </w:pPr>
      <w:r>
        <w:rPr/>
        <w:t>Kapitola předkládá přehled datových definic stanovených v této normě. Je zde uvedeno 10 datových definic, mezi jinými například: „Position“ (pozice), skládající se ze 3 souřadnic, Transport Component Status (stav složky AVI/AEI) se stavy – v pořádku, málo energie v baterii a chybový stav.</w:t>
      </w:r>
    </w:p>
    <w:p>
      <w:pPr>
        <w:pStyle w:val="Textnormy"/>
        <w:rPr/>
      </w:pPr>
      <w:r>
        <w:rPr/>
        <w:t>Příklad přehledu datových definic:</w:t>
      </w:r>
    </w:p>
    <w:p>
      <w:pPr>
        <w:pStyle w:val="Textnormy"/>
        <w:jc w:val="center"/>
        <w:rPr>
          <w:b/>
        </w:rPr>
      </w:pPr>
      <w:r>
        <w:rPr>
          <w:b/>
        </w:rPr>
        <w:drawing>
          <wp:inline distT="0" distB="0" distL="0" distR="0">
            <wp:extent cx="4250055" cy="15716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10" r="-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Kapitola 7 Datové definice </w:t>
      </w:r>
    </w:p>
    <w:p>
      <w:pPr>
        <w:pStyle w:val="Textnormy"/>
        <w:rPr/>
      </w:pPr>
      <w:r>
        <w:rPr/>
        <w:t>Zde je uvedeno 10 nových definic datových typů, každá definice se skládá ze slovního popisu významu, účelu a použití datového typu a jeho definice v kódu ASN.1. Například v popisu definice datového typu „Transport Component Status“ je uvedeno, že se jedná o kód indikující provozní stav složek AVI/AEI (čtečky, displeje a TAGu) stanovených v této normě.</w:t>
      </w:r>
    </w:p>
    <w:p>
      <w:pPr>
        <w:pStyle w:val="Textnormy"/>
        <w:rPr>
          <w:b/>
        </w:rPr>
      </w:pPr>
      <w:r>
        <w:rPr>
          <w:b/>
        </w:rPr>
        <w:t xml:space="preserve">7.3 Kódovací struktura CS9 pro „lehký kontejner“ </w:t>
      </w:r>
    </w:p>
    <w:p>
      <w:pPr>
        <w:pStyle w:val="Textnormy"/>
        <w:rPr/>
      </w:pPr>
      <w:r>
        <w:rPr/>
        <w:t xml:space="preserve">Tento článek popisuje strukturu CS9, obsahující číslování lehkých kontejnerů (swap bodies) dle EN 13044. Tyto kontejnery se liší od standardních ISO kontejnerů svojí konstrukcí a také tím, že se nedají stohovat. Struktura se skládá z datových položek obsahujících kód vlastníka, identifikátor třídy nákladu, sériové číslo, kontrolní součet, délku, výšku a šířku kontejneru, kód typu, maximální plně zatíženou váhu a váhu prázdného kontejneru. </w:t>
      </w:r>
    </w:p>
    <w:p>
      <w:pPr>
        <w:pStyle w:val="Textnormy"/>
        <w:rPr/>
      </w:pPr>
      <w:r>
        <w:rPr/>
        <w:t>Příklad definice kódové struktury CS9 dle ASN.1: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40985" cy="248094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248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 Modul ASN.1 pro číslování a datové struktury v intermodální přepravě</w:t>
      </w:r>
    </w:p>
    <w:p>
      <w:pPr>
        <w:pStyle w:val="Textnormy"/>
        <w:rPr/>
      </w:pPr>
      <w:r>
        <w:rPr/>
        <w:t xml:space="preserve">Tato příloha uvádí souhrnnou definici všech stanovených datových typů (tzv. modul), aby je bylo možné snadno importovat do dalších aplikací a norem dopravní telematiky. </w:t>
      </w:r>
    </w:p>
    <w:p>
      <w:pPr>
        <w:pStyle w:val="Textnormy"/>
        <w:rPr/>
      </w:pPr>
      <w:r>
        <w:rPr/>
        <w:t xml:space="preserve">Příklad názvu a identifikačního čísla modulu zavedeného v této normě: 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070350" cy="52768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33" r="-4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52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B (informativní) Příklady aplikací AEI v intermodální přepravě</w:t>
      </w:r>
    </w:p>
    <w:p>
      <w:pPr>
        <w:pStyle w:val="Textnormy"/>
        <w:rPr/>
      </w:pPr>
      <w:r>
        <w:rPr/>
        <w:t>Tato příloha obsahuje dva schematické příklady intermodálních aplikací AVI/AEI. První schéma uvádí hypotetickou aplikaci, zatímco druhý příklad je založen na architektuře existujícího systému INTERPORT.</w:t>
      </w:r>
    </w:p>
    <w:p>
      <w:pPr>
        <w:pStyle w:val="Textnormy"/>
        <w:jc w:val="center"/>
        <w:rPr/>
      </w:pPr>
      <w:r>
        <w:rPr/>
        <w:t xml:space="preserve"> </w:t>
      </w:r>
      <w:r>
        <w:rPr/>
        <w:drawing>
          <wp:inline distT="0" distB="0" distL="0" distR="0">
            <wp:extent cx="5607050" cy="495236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95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B.1 – Příklad scénáře umístění dat v jednotlivých složkách systému AVI/AEI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C (informativní) Příklady užití pro číslování a datové struktury v intermodální přepravě</w:t>
      </w:r>
    </w:p>
    <w:p>
      <w:pPr>
        <w:pStyle w:val="Textnormy"/>
        <w:rPr/>
      </w:pPr>
      <w:r>
        <w:rPr/>
        <w:t>Poskytuje stručný popis co je ASN.1. Rekapituluje datové typy z ASN.1 a informuje čtenáře o tom, co je modul, jaká je jeho identifikace a jak lze do modulu včlenit definice z jiných norem.</w:t>
      </w:r>
    </w:p>
    <w:p>
      <w:pPr>
        <w:pStyle w:val="Textnormy"/>
        <w:rPr/>
      </w:pPr>
      <w:r>
        <w:rPr/>
        <w:t>Ukázka modulu definovaného v ASN.1:</w:t>
      </w:r>
    </w:p>
    <w:p>
      <w:pPr>
        <w:pStyle w:val="Textnormy"/>
        <w:keepNext w:val="true"/>
        <w:rPr/>
      </w:pPr>
      <w:r>
        <w:rPr/>
        <w:drawing>
          <wp:inline distT="0" distB="0" distL="0" distR="0">
            <wp:extent cx="5751195" cy="89662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" t="-17" r="-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  <w:t xml:space="preserve">V další části uvádí dva příklady zakódování konkrétních instancí nově stanovených datových typů v strukturované i binární podobě pomocí PER či BER pravidel jazyka ASN.1. </w:t>
      </w:r>
    </w:p>
    <w:p>
      <w:pPr>
        <w:pStyle w:val="Textnormy"/>
        <w:rPr/>
      </w:pPr>
      <w:r>
        <w:rPr/>
        <w:t>Ukázka zakódování modulu definovaného v ASN.1 pomocí PER:</w:t>
      </w:r>
    </w:p>
    <w:p>
      <w:pPr>
        <w:pStyle w:val="Textnormy"/>
        <w:spacing w:before="0" w:after="120"/>
        <w:jc w:val="center"/>
        <w:rPr/>
      </w:pPr>
      <w:r>
        <w:rPr/>
        <w:drawing>
          <wp:inline distT="0" distB="0" distL="0" distR="0">
            <wp:extent cx="5104130" cy="10064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15" r="-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100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9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altName w:val="Palatino Linotype"/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8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Wingdings" w:hAnsi="Wingdings" w:cs="StarSymbol;Arial Unicode MS"/>
      <w:sz w:val="18"/>
      <w:szCs w:val="18"/>
    </w:rPr>
  </w:style>
  <w:style w:type="character" w:styleId="WW8Num4z1">
    <w:name w:val="WW8Num4z1"/>
    <w:qFormat/>
    <w:rPr>
      <w:rFonts w:ascii="Wingdings 2" w:hAnsi="Wingdings 2" w:cs="StarSymbol;Arial Unicode MS"/>
      <w:sz w:val="18"/>
      <w:szCs w:val="18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0">
    <w:name w:val="WW8Num5z0"/>
    <w:qFormat/>
    <w:rPr>
      <w:rFonts w:ascii="Arial" w:hAnsi="Arial" w:cs="Arial"/>
      <w:sz w:val="18"/>
      <w:szCs w:val="18"/>
    </w:rPr>
  </w:style>
  <w:style w:type="character" w:styleId="WW8Num5z1">
    <w:name w:val="WW8Num5z1"/>
    <w:qFormat/>
    <w:rPr>
      <w:rFonts w:ascii="Wingdings 2" w:hAnsi="Wingdings 2" w:cs="StarSymbol;Arial Unicode MS"/>
      <w:sz w:val="18"/>
      <w:szCs w:val="18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3">
    <w:name w:val="WW8Num5z3"/>
    <w:qFormat/>
    <w:rPr>
      <w:rFonts w:ascii="Wingdings" w:hAnsi="Wingdings" w:cs="StarSymbol;Arial Unicode MS"/>
      <w:sz w:val="18"/>
      <w:szCs w:val="18"/>
    </w:rPr>
  </w:style>
  <w:style w:type="character" w:styleId="WW8Num6z0">
    <w:name w:val="WW8Num6z0"/>
    <w:qFormat/>
    <w:rPr>
      <w:rFonts w:ascii="Arial" w:hAnsi="Arial" w:cs="Arial"/>
      <w:sz w:val="18"/>
      <w:szCs w:val="18"/>
    </w:rPr>
  </w:style>
  <w:style w:type="character" w:styleId="WW8Num6z1">
    <w:name w:val="WW8Num6z1"/>
    <w:qFormat/>
    <w:rPr>
      <w:rFonts w:ascii="Wingdings 2" w:hAnsi="Wingdings 2" w:cs="StarSymbol;Arial Unicode MS"/>
      <w:sz w:val="18"/>
      <w:szCs w:val="18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3">
    <w:name w:val="WW8Num6z3"/>
    <w:qFormat/>
    <w:rPr>
      <w:rFonts w:ascii="Wingdings" w:hAnsi="Wingdings" w:cs="StarSymbol;Arial Unicode MS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Nadpis2Char">
    <w:name w:val="Nadpis 2 Char"/>
    <w:basedOn w:val="Standardnpsmoodstavce"/>
    <w:qFormat/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itulek">
    <w:name w:val="Titulek"/>
    <w:basedOn w:val="Normal"/>
    <w:next w:val="Normal"/>
    <w:qFormat/>
    <w:pPr>
      <w:widowControl w:val="false"/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b/>
      <w:bCs/>
      <w:kern w:val="2"/>
    </w:rPr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emf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15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2008-11-14T14:01:00Z</dcterms:created>
  <dc:creator>David Bárta</dc:creator>
  <dc:description/>
  <cp:keywords/>
  <dc:language>en-US</dc:language>
  <cp:lastModifiedBy>David Bárta</cp:lastModifiedBy>
  <cp:lastPrinted>2008-11-14T16:09:00Z</cp:lastPrinted>
  <dcterms:modified xsi:type="dcterms:W3CDTF">2008-11-14T15:19:00Z</dcterms:modified>
  <cp:revision>4</cp:revision>
  <dc:subject/>
  <dc:title>ČESKÁ TECHNICKÁ NORMA</dc:title>
</cp:coreProperties>
</file>