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EXTRAKT z české technické normy</w:t>
      </w:r>
    </w:p>
    <w:p>
      <w:pPr>
        <w:pStyle w:val="Textnormy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40"/>
          <w:szCs w:val="40"/>
        </w:rPr>
      </w:pPr>
      <w:r>
        <w:rPr>
          <w:b/>
          <w:sz w:val="40"/>
          <w:szCs w:val="40"/>
        </w:rPr>
        <w:t>ICS 35.240.60</w:t>
        <w:tab/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>Dopravní telematika – Automatická identifikace vozidel, zařízení a nákladů – Intermodální/multimodální přeprava – Rozhraní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>
                <w:b w:val="false"/>
                <w:sz w:val="28"/>
              </w:rPr>
            </w:pPr>
            <w:r>
              <w:rPr/>
              <w:t>ČSN EN</w:t>
              <w:br/>
              <w:t>ISO/TS 17264</w:t>
              <w:br/>
            </w:r>
          </w:p>
          <w:p>
            <w:pPr>
              <w:pStyle w:val="1StrTrZn"/>
              <w:spacing w:before="80" w:after="80"/>
              <w:rPr/>
            </w:pPr>
            <w:r>
              <w:rPr>
                <w:b/>
                <w:sz w:val="28"/>
              </w:rPr>
            </w:r>
          </w:p>
        </w:tc>
      </w:tr>
    </w:tbl>
    <w:p>
      <w:pPr>
        <w:pStyle w:val="Shodnost"/>
        <w:tabs>
          <w:tab w:val="left" w:pos="7920" w:leader="none"/>
        </w:tabs>
        <w:rPr/>
      </w:pPr>
      <w:r>
        <w:rPr/>
        <w:tab/>
        <w:t>30 stran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/>
      </w:pPr>
      <w:r>
        <w:rPr/>
        <w:t xml:space="preserve">Tato mezinárodní norma nebyla doposud zavedena do ČSN. Tato norma je součástí souboru norem zaměřených na automatickou identifikaci vozidla, nákladu či položky zařízení pro </w:t>
      </w:r>
      <w:r>
        <w:rPr>
          <w:spacing w:val="-2"/>
        </w:rPr>
        <w:t>účely</w:t>
      </w:r>
      <w:r>
        <w:rPr/>
        <w:t xml:space="preserve"> telematických aplikací. Stanovuje aplikační rozhraní systému automatické identifikace nákladu a zařízení v multimodální/intermodální přepravě založené na standardizovaném bezdrátovém komunikačním rozhraní.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Norma stanovuje </w:t>
      </w:r>
      <w:r>
        <w:rPr/>
        <w:t>požadavky na transakce, nezávislé na použitém přenosovém médiu.</w:t>
      </w:r>
    </w:p>
    <w:p>
      <w:pPr>
        <w:pStyle w:val="Textnormy"/>
        <w:rPr>
          <w:spacing w:val="-2"/>
        </w:rPr>
      </w:pPr>
      <w:r>
        <w:rPr>
          <w:b/>
        </w:rPr>
        <w:t xml:space="preserve">Pro orgány státní správy </w:t>
      </w:r>
      <w:r>
        <w:rPr>
          <w:spacing w:val="-2"/>
        </w:rPr>
        <w:t>tato norma stanovuje způsob, jak se rozhodnout, ve kterých kategoriích požadují maximální výkon (nejvyšší třída) a ve kterých zase nejnižší. Od takto stanovených požadavků na systém se potom odvíjí i jeho cena.</w:t>
      </w:r>
    </w:p>
    <w:p>
      <w:pPr>
        <w:pStyle w:val="Textnormy"/>
        <w:rPr>
          <w:spacing w:val="-2"/>
        </w:rPr>
      </w:pPr>
      <w:r>
        <w:rPr>
          <w:b/>
        </w:rPr>
        <w:t>Pro výrobce zařízení a dodavatele telematických systémů</w:t>
      </w:r>
      <w:r>
        <w:rPr/>
        <w:t xml:space="preserve"> </w:t>
      </w:r>
      <w:r>
        <w:rPr>
          <w:spacing w:val="-2"/>
        </w:rPr>
        <w:t>tato norma obsahuje důležité pokyny, aby mohli vyrábět systémy s různými požadavky na funkcionalitu. Stanovuje zkoušky, kterými musí zařízení projít, aby spadalo do určitě kategorie, a v neposlední řadě stanovuje podmínky certifikace zařízení.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Souvisící normy</w:t>
      </w:r>
    </w:p>
    <w:p>
      <w:pPr>
        <w:pStyle w:val="Textnormy"/>
        <w:rPr/>
      </w:pPr>
      <w:r>
        <w:rPr/>
        <w:t>Vzhledem k charakteru této normy je jednoznačně požadována znalost nebo alespoň přístup k normám IEC na elektromagnetickou kompatibilitu a environmentální zkoušení. Pro správné pochopení přílohy A je nutné seznámit se s normou popisující sedmou vrstvu OSI vyhrazeného spojení krátkého dosahu ISO 15628.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1 Předmět normy</w:t>
      </w:r>
    </w:p>
    <w:p>
      <w:pPr>
        <w:pStyle w:val="Textnormy"/>
        <w:rPr/>
      </w:pPr>
      <w:r>
        <w:rPr/>
        <w:t>Tato norma se věnuje popisu rozhraní mezi jednotlivými složkami multimodální/intermodální přepravy. Stanovuje syntax, sémantiku i posloupnost příkazů při automatické identifikaci.</w:t>
      </w:r>
    </w:p>
    <w:p>
      <w:pPr>
        <w:pStyle w:val="Textnormy"/>
        <w:rPr/>
      </w:pPr>
      <w:r>
        <w:rPr/>
        <w:t>Cílem normy je stanovit rozhraní a zajistit tak interoperabilitu zařízení od různých výrobců. Uvádí termíny BST a VST, což jsou tabulky nesoucí v sobě informace o tom, jaké služby jsou podporovány vozidlem respektive infrastrukturou. Tyto tabulky se na začátku komunikace vymění mezi aktéry a poté dojde k výběru takové služby z nabízených možností, která je podporována na obou stranách komunikace.</w:t>
      </w:r>
    </w:p>
    <w:p>
      <w:pPr>
        <w:pStyle w:val="Textnormy"/>
        <w:rPr/>
      </w:pPr>
      <w:r>
        <w:rPr/>
        <w:t>Kromě vlastní části má norma dvě normativní a jednu informativní přílohu.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 Termíny a definice</w:t>
      </w:r>
    </w:p>
    <w:p>
      <w:pPr>
        <w:pStyle w:val="Textnormy"/>
        <w:rPr/>
      </w:pPr>
      <w:r>
        <w:rPr>
          <w:b/>
        </w:rPr>
        <w:t xml:space="preserve">intermodální přeprava </w:t>
      </w:r>
      <w:r>
        <w:rPr>
          <w:i/>
        </w:rPr>
        <w:t xml:space="preserve">(intermodal transport) </w:t>
      </w:r>
      <w:r>
        <w:rPr/>
        <w:t>pohyb zboží v jedné nebo více přepravních jednotkách nebo vozidle, které postupně používá různé způsoby dopravy bez samotné manipulace se zbožím při procesu změny módu přepravy.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4 Zkratky</w:t>
      </w:r>
    </w:p>
    <w:p>
      <w:pPr>
        <w:pStyle w:val="Textnormy"/>
        <w:rPr/>
      </w:pPr>
      <w:r>
        <w:rPr/>
        <w:t>Tato kapitola uvádí 24 zkratek, nejdůležitější jsou uvedeny níže:</w:t>
      </w:r>
    </w:p>
    <w:p>
      <w:pPr>
        <w:pStyle w:val="Textnormy"/>
        <w:rPr/>
      </w:pPr>
      <w:r>
        <w:rPr>
          <w:b/>
        </w:rPr>
        <w:t>4.7 BST</w:t>
      </w:r>
      <w:r>
        <w:rPr/>
        <w:t xml:space="preserve"> tabulka služeb vysílače; určuje jaké služby (funkce) AVI/AEI jsou podporované ve vysílači </w:t>
      </w:r>
    </w:p>
    <w:p>
      <w:pPr>
        <w:pStyle w:val="Textnormy"/>
        <w:rPr/>
      </w:pPr>
      <w:r>
        <w:rPr>
          <w:b/>
        </w:rPr>
        <w:t>4.24 VST</w:t>
      </w:r>
      <w:r>
        <w:rPr/>
        <w:t xml:space="preserve"> tabulka služeb vozidla; určuje jaké služby (funkce) AVI/AEI jsou podporované zařízením ve vozidle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Kapitola 5 Požadavky na transakce AVI/AEI</w:t>
      </w:r>
    </w:p>
    <w:p>
      <w:pPr>
        <w:pStyle w:val="Textnormy"/>
        <w:rPr/>
      </w:pPr>
      <w:r>
        <w:rPr/>
        <w:t>Kapitola v rozsahu jedné strany představuje celé tělo normy. Jsou zde specifikovány transakční profily, tj. z jakých činností se sestává identifikační proces. Celkem jsou zde 2 tabulky, z nichž první obsahuje profil pro „čtecí“ transakci a druhá pro „čtecí/zapisovací“ transakci. Dále je zde uveden odkaz na normativní přílohy A a B, které se zabývají definicí bezdrátového rozhraní.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A (normativní) Aplikační rozhraní AVI/AEI dle ISO 15628</w:t>
      </w:r>
    </w:p>
    <w:p>
      <w:pPr>
        <w:pStyle w:val="Textnormy"/>
        <w:rPr/>
      </w:pPr>
      <w:r>
        <w:rPr/>
        <w:t>Je zde popsáno aplikační rozhraní AVI/AEI dle ISO 15628. Tato příloha obsahuje popis inicializace služby, transakční fáze, atributů a zásobníkového modulu dle ASN.1.</w:t>
      </w:r>
    </w:p>
    <w:p>
      <w:pPr>
        <w:pStyle w:val="Textnormy"/>
        <w:rPr>
          <w:b/>
        </w:rPr>
      </w:pPr>
      <w:r>
        <w:rPr>
          <w:b/>
        </w:rPr>
        <w:t>A. 2 Inicializační fáze</w:t>
      </w:r>
    </w:p>
    <w:p>
      <w:pPr>
        <w:pStyle w:val="Textnormy"/>
        <w:rPr/>
      </w:pPr>
      <w:r>
        <w:rPr/>
        <w:t xml:space="preserve">Inicializace dle definice znamená výměnu informací BST a VST. Specifický obsah BST a VST je popsán v této příloze: jaké jsou požadavky na transakce a obsah parametrů souvisejících s AVI ve VST. BST je tabulka služeb vysílače, a proto na rozdíl od VST neobsahuje parametry související s AVI/AEI. Dále je v této části pomocí ASN.1 specifikována datová struktura AVI-ContextMark a VST. </w:t>
      </w:r>
    </w:p>
    <w:p>
      <w:pPr>
        <w:pStyle w:val="Textnormy"/>
        <w:rPr/>
      </w:pPr>
      <w:r>
        <w:rPr/>
        <w:t>Ukázka definice struktury AVI-ContextMark v ASN.1:</w:t>
      </w:r>
    </w:p>
    <w:p>
      <w:pPr>
        <w:pStyle w:val="Textnormy"/>
        <w:jc w:val="center"/>
        <w:rPr/>
      </w:pPr>
      <w:r>
        <w:rPr/>
        <w:drawing>
          <wp:inline distT="0" distB="0" distL="0" distR="0">
            <wp:extent cx="4697730" cy="15779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8" r="-3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730" cy="157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/>
      </w:pPr>
      <w:r>
        <w:rPr/>
      </w:r>
    </w:p>
    <w:p>
      <w:pPr>
        <w:pStyle w:val="Textnormy"/>
        <w:rPr>
          <w:b/>
        </w:rPr>
      </w:pPr>
      <w:r>
        <w:rPr>
          <w:b/>
        </w:rPr>
        <w:t>A.3 Transakční fáze</w:t>
      </w:r>
    </w:p>
    <w:p>
      <w:pPr>
        <w:pStyle w:val="Textnormy"/>
        <w:rPr/>
      </w:pPr>
      <w:r>
        <w:rPr/>
        <w:t>Zařízení na straně infrastruktury (RSE) zná po inicializaci z obsahu VST, jaké funkce jsou v palubním zařízení (OBE) podporovány a ty potom dále využívá v procesu identifikace. Je zde stanoveno pět typů transakcí AVI/AEI, jak to umožňuje DSRC a funkcionalita vlastního OBE. Tyto typy jsou:</w:t>
      </w:r>
    </w:p>
    <w:p>
      <w:pPr>
        <w:pStyle w:val="Textnormy"/>
        <w:numPr>
          <w:ilvl w:val="0"/>
          <w:numId w:val="2"/>
        </w:numPr>
        <w:rPr/>
      </w:pPr>
      <w:r>
        <w:rPr/>
        <w:t>Profil pro čtení za použití příkazu INICIALIZATION</w:t>
      </w:r>
    </w:p>
    <w:p>
      <w:pPr>
        <w:pStyle w:val="Textnormy"/>
        <w:numPr>
          <w:ilvl w:val="0"/>
          <w:numId w:val="2"/>
        </w:numPr>
        <w:rPr/>
      </w:pPr>
      <w:r>
        <w:rPr/>
        <w:t>Profil pro čtení za použití příkazů INICIALIZATION a GET</w:t>
      </w:r>
    </w:p>
    <w:p>
      <w:pPr>
        <w:pStyle w:val="Textnormy"/>
        <w:numPr>
          <w:ilvl w:val="0"/>
          <w:numId w:val="2"/>
        </w:numPr>
        <w:rPr/>
      </w:pPr>
      <w:r>
        <w:rPr/>
        <w:t>Profil pro čtení a zápis za použití příkazů INICIALIZATION, GET a SET</w:t>
      </w:r>
    </w:p>
    <w:p>
      <w:pPr>
        <w:pStyle w:val="Textnormy"/>
        <w:numPr>
          <w:ilvl w:val="0"/>
          <w:numId w:val="2"/>
        </w:numPr>
        <w:rPr/>
      </w:pPr>
      <w:r>
        <w:rPr/>
        <w:t>Profil pro čtení a zápis za použití příkazů INICIALIZATION, GET, SET nebo ACTION</w:t>
      </w:r>
    </w:p>
    <w:p>
      <w:pPr>
        <w:pStyle w:val="Textnormy"/>
        <w:numPr>
          <w:ilvl w:val="0"/>
          <w:numId w:val="2"/>
        </w:numPr>
        <w:rPr/>
      </w:pPr>
      <w:r>
        <w:rPr/>
        <w:t>Profil pro čtení a zápis za použití příkazů INICIALIZATION, GET, SET a ACTION</w:t>
      </w:r>
    </w:p>
    <w:p>
      <w:pPr>
        <w:pStyle w:val="Textnormy"/>
        <w:rPr>
          <w:b/>
        </w:rPr>
      </w:pPr>
      <w:r>
        <w:rPr>
          <w:b/>
        </w:rPr>
        <w:t>A.4-5 Definice AVI/AEI atributů a zásobníkového modulu</w:t>
      </w:r>
    </w:p>
    <w:p>
      <w:pPr>
        <w:pStyle w:val="Textnormy"/>
        <w:rPr/>
      </w:pPr>
      <w:r>
        <w:rPr/>
        <w:t xml:space="preserve">Ve zbylé části přílohy A jsou definovány atributy AVI/AEI (viz tabulka 1), je jich celkem 33, zbytek 33 až 127 je rezervován pro budoucí použití. </w:t>
      </w:r>
    </w:p>
    <w:p>
      <w:pPr>
        <w:pStyle w:val="Textnormy"/>
        <w:rPr/>
      </w:pPr>
      <w:r>
        <w:rPr/>
      </w:r>
    </w:p>
    <w:p>
      <w:pPr>
        <w:pStyle w:val="Textnormy"/>
        <w:rPr/>
      </w:pPr>
      <w:r>
        <w:rPr/>
      </w:r>
    </w:p>
    <w:p>
      <w:pPr>
        <w:pStyle w:val="Textnormy"/>
        <w:rPr/>
      </w:pPr>
      <w:r>
        <w:rPr/>
      </w:r>
    </w:p>
    <w:p>
      <w:pPr>
        <w:pStyle w:val="Textnormy"/>
        <w:rPr/>
      </w:pPr>
      <w:r>
        <w:rPr/>
      </w:r>
    </w:p>
    <w:p>
      <w:pPr>
        <w:pStyle w:val="Textnormy"/>
        <w:rPr/>
      </w:pPr>
      <w:r>
        <w:rPr/>
      </w:r>
    </w:p>
    <w:p>
      <w:pPr>
        <w:pStyle w:val="Textnormy"/>
        <w:rPr/>
      </w:pPr>
      <w:r>
        <w:rPr/>
      </w:r>
    </w:p>
    <w:p>
      <w:pPr>
        <w:pStyle w:val="NadpisTabObr"/>
        <w:rPr/>
      </w:pPr>
      <w:r>
        <w:rPr/>
        <w:t>Tabulka A.1 – Ukázka tabulky atributů AVI/AEI</w:t>
      </w:r>
    </w:p>
    <w:tbl>
      <w:tblPr>
        <w:tblW w:w="5160" w:type="dxa"/>
        <w:jc w:val="start"/>
        <w:tblInd w:w="17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82"/>
        <w:gridCol w:w="2078"/>
        <w:gridCol w:w="1800"/>
      </w:tblGrid>
      <w:tr>
        <w:trPr/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Textnormy"/>
              <w:spacing w:before="0" w:after="120"/>
              <w:jc w:val="center"/>
              <w:rPr>
                <w:b/>
              </w:rPr>
            </w:pPr>
            <w:r>
              <w:rPr>
                <w:b/>
              </w:rPr>
              <w:t>ID atributu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Textnormy"/>
              <w:spacing w:before="0" w:after="120"/>
              <w:jc w:val="center"/>
              <w:rPr>
                <w:b/>
              </w:rPr>
            </w:pPr>
            <w:r>
              <w:rPr>
                <w:b/>
              </w:rPr>
              <w:t>Atribut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Textnormy"/>
              <w:spacing w:before="0" w:after="120"/>
              <w:jc w:val="center"/>
              <w:rPr>
                <w:b/>
              </w:rPr>
            </w:pPr>
            <w:r>
              <w:rPr>
                <w:b/>
              </w:rPr>
              <w:t>Odkaz na normu</w:t>
            </w:r>
          </w:p>
        </w:tc>
      </w:tr>
      <w:tr>
        <w:trPr/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center"/>
              <w:rPr/>
            </w:pPr>
            <w:r>
              <w:rPr/>
              <w:t>0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AVI-ContextMark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napToGrid w:val="false"/>
              <w:spacing w:before="0" w:after="12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center"/>
              <w:rPr/>
            </w:pPr>
            <w:r>
              <w:rPr/>
              <w:t>1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CS 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ISO 14816</w:t>
            </w:r>
          </w:p>
        </w:tc>
      </w:tr>
      <w:tr>
        <w:trPr/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center"/>
              <w:rPr/>
            </w:pPr>
            <w:r>
              <w:rPr/>
              <w:t>2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CS 2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ISO 14816</w:t>
            </w:r>
          </w:p>
        </w:tc>
      </w:tr>
      <w:tr>
        <w:trPr/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center"/>
              <w:rPr/>
            </w:pPr>
            <w:r>
              <w:rPr/>
              <w:t>3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CS 3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ISO 14816</w:t>
            </w:r>
          </w:p>
        </w:tc>
      </w:tr>
      <w:tr>
        <w:trPr/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center"/>
              <w:rPr/>
            </w:pPr>
            <w:r>
              <w:rPr/>
              <w:t>4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CS 4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ISO 14816</w:t>
            </w:r>
          </w:p>
        </w:tc>
      </w:tr>
      <w:tr>
        <w:trPr/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center"/>
              <w:rPr/>
            </w:pPr>
            <w:r>
              <w:rPr/>
              <w:t>5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CS 5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ISO 14816</w:t>
            </w:r>
          </w:p>
        </w:tc>
      </w:tr>
      <w:tr>
        <w:trPr/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center"/>
              <w:rPr/>
            </w:pPr>
            <w:r>
              <w:rPr/>
              <w:t>6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CS 6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ISO 14816</w:t>
            </w:r>
          </w:p>
        </w:tc>
      </w:tr>
      <w:tr>
        <w:trPr/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center"/>
              <w:rPr/>
            </w:pPr>
            <w:r>
              <w:rPr/>
              <w:t>7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CS 7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ISO 14816</w:t>
            </w:r>
          </w:p>
        </w:tc>
      </w:tr>
      <w:tr>
        <w:trPr/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center"/>
              <w:rPr/>
            </w:pPr>
            <w:r>
              <w:rPr/>
              <w:t>8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CS 8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ISO 14816</w:t>
            </w:r>
          </w:p>
        </w:tc>
      </w:tr>
      <w:tr>
        <w:trPr/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center"/>
              <w:rPr/>
            </w:pPr>
            <w:r>
              <w:rPr/>
              <w:t>9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AccessControlStatus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jc w:val="start"/>
              <w:rPr/>
            </w:pPr>
            <w:r>
              <w:rPr/>
              <w:t>ISO/TS 17262</w:t>
            </w:r>
          </w:p>
        </w:tc>
      </w:tr>
    </w:tbl>
    <w:p>
      <w:pPr>
        <w:pStyle w:val="Textnormy"/>
        <w:jc w:val="center"/>
        <w:rPr/>
      </w:pPr>
      <w:r>
        <w:rPr/>
      </w:r>
    </w:p>
    <w:p>
      <w:pPr>
        <w:pStyle w:val="Textnormy"/>
        <w:rPr/>
      </w:pPr>
      <w:r>
        <w:rPr/>
        <w:t>V článku A.5 je uvedena plná specifikace zásobníku AVI/AEI tak, aby mohla být přímo naimportována do aplikací pracujících s touto normou. Popis je proveden dle ASN.1.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B (normativní) Transakce AVI/AEI za použití ISO/IEC 18000</w:t>
      </w:r>
    </w:p>
    <w:p>
      <w:pPr>
        <w:pStyle w:val="Textnormy"/>
        <w:rPr/>
      </w:pPr>
      <w:r>
        <w:rPr/>
        <w:t>Stanovuje transakce AVI/AEI dle ISO/IEC 18000, s tím, že pouze odkazuje na normy ze série ISO 18000 a také, že výrobce musí doložit protokol o shodě (PICS) pokud chce uvádět, že „jeho“ zařízení splňuje příslušné normy pro bezdrátový přenos.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C (informativní) Příklady transakcí AVI/AEI</w:t>
      </w:r>
    </w:p>
    <w:p>
      <w:pPr>
        <w:pStyle w:val="Textnormy"/>
        <w:rPr/>
      </w:pPr>
      <w:r>
        <w:rPr/>
        <w:t xml:space="preserve">Obsahuje příklady transakcí pro snazší pochopení normy. Jsou zde uvedeny příklady obsahu jak BST, tak i VST pro jednoduchou i složitou transakci AVI/AEI (viz Obrázek 3). Složitá transakce používá kromě výměny samotných tabulek služeb také příkaz GET, tedy konkrétně jeho části – žádost a odezvu. </w:t>
      </w:r>
    </w:p>
    <w:p>
      <w:pPr>
        <w:pStyle w:val="Textnormy"/>
        <w:rPr/>
      </w:pPr>
      <w:r>
        <w:rPr/>
        <w:t>Obsah tabulky služeb vysílače (BST) pro jednoduchou transakci AVI/AEI:</w:t>
      </w:r>
    </w:p>
    <w:p>
      <w:pPr>
        <w:pStyle w:val="BodyText"/>
        <w:keepNext w:val="true"/>
        <w:spacing w:before="0" w:after="120"/>
        <w:jc w:val="center"/>
        <w:rPr/>
      </w:pPr>
      <w:r>
        <w:rPr/>
        <w:drawing>
          <wp:inline distT="0" distB="0" distL="0" distR="0">
            <wp:extent cx="4853940" cy="36576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" t="-7" r="-5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defaul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Cambria">
    <w:altName w:val="Palatino Linotype"/>
    <w:charset w:val="ee" w:characterSet="windows-125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Courier New">
    <w:charset w:val="ee" w:characterSet="windows-1250"/>
    <w:family w:val="modern"/>
    <w:pitch w:val="default"/>
  </w:font>
  <w:font w:name="Times New Roman">
    <w:charset w:val="ee" w:characterSet="windows-1250"/>
    <w:family w:val="roman"/>
    <w:pitch w:val="variable"/>
  </w:font>
  <w:font w:name="Tahoma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7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Cambria;Palatino Linotype" w:hAnsi="Cambria;Palatino Linotype"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2z0">
    <w:name w:val="WW8Num2z0"/>
    <w:qFormat/>
    <w:rPr>
      <w:rFonts w:ascii="Wingdings" w:hAnsi="Wingdings" w:cs="StarSymbol;Arial Unicode MS"/>
      <w:sz w:val="18"/>
      <w:szCs w:val="18"/>
    </w:rPr>
  </w:style>
  <w:style w:type="character" w:styleId="WW8Num2z1">
    <w:name w:val="WW8Num2z1"/>
    <w:qFormat/>
    <w:rPr>
      <w:rFonts w:ascii="Wingdings 2" w:hAnsi="Wingdings 2" w:cs="StarSymbol;Arial Unicode MS"/>
      <w:sz w:val="18"/>
      <w:szCs w:val="18"/>
    </w:rPr>
  </w:style>
  <w:style w:type="character" w:styleId="WW8Num2z2">
    <w:name w:val="WW8Num2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3z0">
    <w:name w:val="WW8Num3z0"/>
    <w:qFormat/>
    <w:rPr>
      <w:rFonts w:ascii="Wingdings" w:hAnsi="Wingdings" w:cs="StarSymbol;Arial Unicode MS"/>
      <w:sz w:val="18"/>
      <w:szCs w:val="18"/>
    </w:rPr>
  </w:style>
  <w:style w:type="character" w:styleId="WW8Num3z1">
    <w:name w:val="WW8Num3z1"/>
    <w:qFormat/>
    <w:rPr>
      <w:rFonts w:ascii="Wingdings 2" w:hAnsi="Wingdings 2" w:cs="StarSymbol;Arial Unicode MS"/>
      <w:sz w:val="18"/>
      <w:szCs w:val="18"/>
    </w:rPr>
  </w:style>
  <w:style w:type="character" w:styleId="WW8Num3z2">
    <w:name w:val="WW8Num3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eastAsia="Lucida Sans Unicode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StarSymbol;Arial Unicode MS"/>
      <w:sz w:val="18"/>
      <w:szCs w:val="18"/>
    </w:rPr>
  </w:style>
  <w:style w:type="character" w:styleId="WW8Num6z1">
    <w:name w:val="WW8Num6z1"/>
    <w:qFormat/>
    <w:rPr>
      <w:rFonts w:ascii="Wingdings 2" w:hAnsi="Wingdings 2" w:cs="StarSymbol;Arial Unicode MS"/>
      <w:sz w:val="18"/>
      <w:szCs w:val="18"/>
    </w:rPr>
  </w:style>
  <w:style w:type="character" w:styleId="WW8Num6z2">
    <w:name w:val="WW8Num6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7z0">
    <w:name w:val="WW8Num7z0"/>
    <w:qFormat/>
    <w:rPr>
      <w:rFonts w:ascii="Arial" w:hAnsi="Arial" w:cs="Arial"/>
      <w:sz w:val="18"/>
      <w:szCs w:val="18"/>
    </w:rPr>
  </w:style>
  <w:style w:type="character" w:styleId="WW8Num7z1">
    <w:name w:val="WW8Num7z1"/>
    <w:qFormat/>
    <w:rPr>
      <w:rFonts w:ascii="Wingdings 2" w:hAnsi="Wingdings 2" w:cs="StarSymbol;Arial Unicode MS"/>
      <w:sz w:val="18"/>
      <w:szCs w:val="18"/>
    </w:rPr>
  </w:style>
  <w:style w:type="character" w:styleId="WW8Num7z2">
    <w:name w:val="WW8Num7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7z3">
    <w:name w:val="WW8Num7z3"/>
    <w:qFormat/>
    <w:rPr>
      <w:rFonts w:ascii="Wingdings" w:hAnsi="Wingdings" w:cs="StarSymbol;Arial Unicode MS"/>
      <w:sz w:val="18"/>
      <w:szCs w:val="18"/>
    </w:rPr>
  </w:style>
  <w:style w:type="character" w:styleId="WW8Num8z0">
    <w:name w:val="WW8Num8z0"/>
    <w:qFormat/>
    <w:rPr>
      <w:rFonts w:ascii="Arial" w:hAnsi="Arial" w:cs="Arial"/>
      <w:sz w:val="18"/>
      <w:szCs w:val="18"/>
    </w:rPr>
  </w:style>
  <w:style w:type="character" w:styleId="WW8Num8z1">
    <w:name w:val="WW8Num8z1"/>
    <w:qFormat/>
    <w:rPr>
      <w:rFonts w:ascii="Wingdings 2" w:hAnsi="Wingdings 2" w:cs="StarSymbol;Arial Unicode MS"/>
      <w:sz w:val="18"/>
      <w:szCs w:val="18"/>
    </w:rPr>
  </w:style>
  <w:style w:type="character" w:styleId="WW8Num8z2">
    <w:name w:val="WW8Num8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8z3">
    <w:name w:val="WW8Num8z3"/>
    <w:qFormat/>
    <w:rPr>
      <w:rFonts w:ascii="Wingdings" w:hAnsi="Wingdings" w:cs="StarSymbol;Arial Unicode MS"/>
      <w:sz w:val="18"/>
      <w:szCs w:val="18"/>
    </w:rPr>
  </w:style>
  <w:style w:type="character" w:styleId="WW8Num9z0">
    <w:name w:val="WW8Num9z0"/>
    <w:qFormat/>
    <w:rPr>
      <w:rFonts w:ascii="Times New Roman" w:hAnsi="Times New Roman" w:eastAsia="Lucida Sans Unicode" w:cs="Times New Roman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basedOn w:val="Standardnpsmoodstavce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Nadpis2Char">
    <w:name w:val="Nadpis 2 Char"/>
    <w:basedOn w:val="Standardnpsmoodstavce"/>
    <w:qFormat/>
    <w:rPr>
      <w:rFonts w:ascii="Cambria;Palatino Linotype" w:hAnsi="Cambria;Palatino Linotype" w:eastAsia="Times New Roman" w:cs="Times New Roman"/>
      <w:b/>
      <w:bCs/>
      <w:i/>
      <w:iCs/>
      <w:sz w:val="28"/>
      <w:szCs w:val="28"/>
    </w:rPr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character" w:styleId="CharChar">
    <w:name w:val=" Char Char"/>
    <w:basedOn w:val="Standardnpsmoodstavce"/>
    <w:qFormat/>
    <w:rPr>
      <w:rFonts w:ascii="Tahoma" w:hAnsi="Tahoma" w:cs="Tahoma"/>
      <w:sz w:val="16"/>
      <w:szCs w:val="16"/>
    </w:rPr>
  </w:style>
  <w:style w:type="character" w:styleId="CharChar1">
    <w:name w:val=" Char Char1"/>
    <w:basedOn w:val="Standardnpsmoodstavce"/>
    <w:qFormat/>
    <w:rPr>
      <w:rFonts w:ascii="Arial" w:hAnsi="Arial" w:cs="Arial"/>
    </w:rPr>
  </w:style>
  <w:style w:type="character" w:styleId="PedmtkomenteChar">
    <w:name w:val="Předmět komentáře Char"/>
    <w:basedOn w:val="CharChar1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itulek">
    <w:name w:val="Titulek"/>
    <w:basedOn w:val="Normal"/>
    <w:next w:val="Normal"/>
    <w:qFormat/>
    <w:pPr>
      <w:widowControl w:val="false"/>
      <w:suppressAutoHyphens w:val="true"/>
      <w:spacing w:before="113" w:after="113"/>
      <w:jc w:val="both"/>
    </w:pPr>
    <w:rPr>
      <w:rFonts w:ascii="Times New Roman" w:hAnsi="Times New Roman" w:eastAsia="Lucida Sans Unicode" w:cs="Times New Roman"/>
      <w:b/>
      <w:bCs/>
      <w:kern w:val="2"/>
    </w:rPr>
  </w:style>
  <w:style w:type="paragraph" w:styleId="Textkomente">
    <w:name w:val="Text komentáře"/>
    <w:basedOn w:val="Normal"/>
    <w:qFormat/>
    <w:pPr/>
    <w:rPr/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Pedmtkomente">
    <w:name w:val="Předmět komentáře"/>
    <w:basedOn w:val="Textkomente"/>
    <w:next w:val="Textkomente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2008-11-18T12:27:00Z</dcterms:created>
  <dc:creator>David Bárta</dc:creator>
  <dc:description/>
  <cp:keywords/>
  <dc:language>en-US</dc:language>
  <cp:lastModifiedBy>David Bárta</cp:lastModifiedBy>
  <cp:lastPrinted>2008-08-26T00:25:00Z</cp:lastPrinted>
  <dcterms:modified xsi:type="dcterms:W3CDTF">2008-11-18T12:27:00Z</dcterms:modified>
  <cp:revision>2</cp:revision>
  <dc:subject/>
  <dc:title>ČESKÁ TECHNICKÁ NORMA</dc:title>
</cp:coreProperties>
</file>