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Zprávy TTI předávané kódováním dopravních zpráv – Část 1: Protokol kódování pro rádiový datový systém – Kanál dopravních zpráv (RDS-TMC) s využitím ALERT - C</w:t>
            </w:r>
          </w:p>
        </w:tc>
        <w:tc>
          <w:tcPr>
            <w:tcW w:w="2552" w:type="dxa"/>
            <w:tcBorders>
              <w:top w:val="single" w:sz="12" w:space="0" w:color="000000"/>
              <w:bottom w:val="single" w:sz="12" w:space="0" w:color="000000"/>
            </w:tcBorders>
          </w:tcPr>
          <w:p>
            <w:pPr>
              <w:pStyle w:val="1StrCN"/>
              <w:spacing w:before="180" w:after="0"/>
              <w:rPr>
                <w:b w:val="false"/>
                <w:sz w:val="28"/>
              </w:rPr>
            </w:pPr>
            <w:r>
              <w:rPr/>
              <w:t>ČSN EN ISO 14819-1</w:t>
              <w:br/>
            </w:r>
          </w:p>
          <w:p>
            <w:pPr>
              <w:pStyle w:val="1StrTrZn"/>
              <w:spacing w:before="80" w:after="80"/>
              <w:rPr/>
            </w:pPr>
            <w:r>
              <w:rPr/>
              <w:t>01 8253</w:t>
            </w:r>
          </w:p>
        </w:tc>
      </w:tr>
    </w:tbl>
    <w:p>
      <w:pPr>
        <w:pStyle w:val="Shodnost"/>
        <w:tabs>
          <w:tab w:val="left" w:pos="7920" w:leader="none"/>
        </w:tabs>
        <w:rPr/>
      </w:pPr>
      <w:r>
        <w:rPr/>
        <w:t>Platí od 1. 12. 2003</w:t>
        <w:tab/>
        <w:t>49 stran</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Předmluva</w:t>
      </w:r>
    </w:p>
    <w:p>
      <w:pPr>
        <w:pStyle w:val="Textnormy"/>
        <w:suppressAutoHyphens w:val="false"/>
        <w:rPr>
          <w:rFonts w:eastAsia="Times New Roman"/>
          <w:kern w:val="0"/>
          <w:lang w:eastAsia="cs-CZ"/>
        </w:rPr>
      </w:pPr>
      <w:r>
        <w:rPr>
          <w:rFonts w:eastAsia="Times New Roman"/>
          <w:kern w:val="0"/>
          <w:lang w:eastAsia="cs-CZ"/>
        </w:rPr>
        <w:t>Dopravní a cestovní informace (TTI) mohou být šířeny pomocí více prostředků a služeb (pomocí statických terminálů, přenosných terminálů, vybavení vozidla). Pro interoperabilitu je potřeba definovat předávaná data včetně formátů jejich předávání tak, aby byla umožněna spolupráce s více poskytovateli dopravních dat i při použití rozdílných technických prostředků.</w:t>
      </w:r>
    </w:p>
    <w:p>
      <w:pPr>
        <w:pStyle w:val="Textnormy"/>
        <w:suppressAutoHyphens w:val="false"/>
        <w:rPr>
          <w:rFonts w:eastAsia="Times New Roman"/>
          <w:kern w:val="0"/>
          <w:lang w:eastAsia="cs-CZ"/>
        </w:rPr>
      </w:pPr>
      <w:r>
        <w:rPr>
          <w:rFonts w:eastAsia="Times New Roman"/>
          <w:kern w:val="0"/>
          <w:lang w:eastAsia="cs-CZ"/>
        </w:rPr>
        <w:t xml:space="preserve">ČSN EN ISO 14819 má několik částí, a to část 1 – všeobecný popis, část 2 – zabývá se kódováním obsahu zprávy a část 3, která se zabývá kódováním polohy vozidla. Část 6 se zaobírá metodou, jak lze část informací uvolnit pouze pro skupinu platících či jinak oprávněných uživatelů. </w:t>
      </w:r>
    </w:p>
    <w:p>
      <w:pPr>
        <w:pStyle w:val="Textnormy"/>
        <w:suppressAutoHyphens w:val="false"/>
        <w:rPr>
          <w:rFonts w:eastAsia="Times New Roman"/>
          <w:spacing w:val="-2"/>
          <w:kern w:val="0"/>
          <w:lang w:eastAsia="cs-CZ"/>
        </w:rPr>
      </w:pPr>
      <w:r>
        <w:rPr>
          <w:rFonts w:eastAsia="Times New Roman"/>
          <w:spacing w:val="-2"/>
          <w:kern w:val="0"/>
          <w:lang w:eastAsia="cs-CZ"/>
        </w:rPr>
        <w:t>Podmíněným přístupem k datům se zabývá i část 4 (protokol Alert +), ale část 6 ho vyřešila mnohem sofistikovaněji. To, že se placený přístup v současné době nepoužívá, je spíše obchodní otázka. Část 5 popisuje lokalizační tabulky pro protokol Alert +. Okolo částí 4 a 5 se v současné době nevyvíjí žádná aktivita, proto nebylo u těchto částí změněno označení a jsou stále značeny jako ENV 12313-4 a ENV 12313-5.</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Úvod</w:t>
      </w:r>
    </w:p>
    <w:p>
      <w:pPr>
        <w:pStyle w:val="Textnormy"/>
        <w:suppressAutoHyphens w:val="false"/>
        <w:rPr>
          <w:rFonts w:eastAsia="Times New Roman"/>
          <w:kern w:val="0"/>
          <w:lang w:eastAsia="cs-CZ"/>
        </w:rPr>
      </w:pPr>
      <w:r>
        <w:rPr>
          <w:rFonts w:eastAsia="Times New Roman"/>
          <w:kern w:val="0"/>
          <w:lang w:eastAsia="cs-CZ"/>
        </w:rPr>
        <w:t xml:space="preserve">Tento druh předávání dopravních a cestovních informací je založen na využití datového kanálu RDS, který je přenášen jako součást rádiového vysílání VKV rozhlasu s frekvenční kmitočtovou modulací (zkratka FM). Tento datový kanál s nízkou datovou kapacitou a jednosměrným přenosem, přenášený zároveň s hlasovým vysíláním, se využívá pro přenášení datových zpráv, které (před zavedením techniky RDS –TMC) byly využívány pro zobrazování názvu stanice na displeji radiopřijímače či k automatickému přelaďování autorádií, pokud se radiopřijímač příliš vzdálil od základnové stanice (v pásmu VKV je tato hranice, v závislosti na terénu a vyzářeném výkonu, kolem 35 km (při výkonu 500W) a je přitom v dosahu jiné základnové stanice stejného programu, která pochopitelně vysílá na rozdílném kmitočtu. </w:t>
      </w:r>
    </w:p>
    <w:p>
      <w:pPr>
        <w:pStyle w:val="Textnormy"/>
        <w:suppressAutoHyphens w:val="false"/>
        <w:rPr>
          <w:rFonts w:eastAsia="Times New Roman"/>
          <w:kern w:val="0"/>
          <w:lang w:eastAsia="cs-CZ"/>
        </w:rPr>
      </w:pPr>
      <w:r>
        <w:rPr>
          <w:rFonts w:eastAsia="Times New Roman"/>
          <w:kern w:val="0"/>
          <w:lang w:eastAsia="cs-CZ"/>
        </w:rPr>
        <w:t>RDS je rádiová technika, která umožňuje přenášet datovou komunikaci v postranním pásmu rádiového vysílání na frekvencích FM, což je v České republice pásmo od 87 MHz do 108 MHz s použitím kmitočtové modulace. Postranní nosný kmitočet, přenášející datové zprávy, je o 38 kHz vzdálen od nosného kmitočtu rozhlasového vysílání. Odstup 38 kHz byl zvolen proto, aby docházelo k minimálnímu ovlivňování obou signálů (hlasového a datového) a přitom vysílač nezabíral větší kmitočtové pásmo. Rozhlasové přijímače musí mít trochu odlišnou konstrukci mezifrekvenčních obvodů a musí být doplněny dekodérem tohoto signálu. Tento dekodér je dnes již běžnou součástí obvodů přijímače a jeho přídavné provedení prakticky vymizelo. Informace přenášené technikou RDS jsou vysílány po skupinách, z nichž jedna, označená 8A, je rezervována pro dopravní informace, které přijímač prezentuje řidiči požadovaným způsobem (hlasově, textově, graficky na displeji navigačního přístroje).</w:t>
      </w:r>
    </w:p>
    <w:p>
      <w:pPr>
        <w:pStyle w:val="Textnormy"/>
        <w:suppressAutoHyphens w:val="false"/>
        <w:rPr>
          <w:rFonts w:eastAsia="Times New Roman"/>
          <w:kern w:val="0"/>
          <w:lang w:eastAsia="cs-CZ"/>
        </w:rPr>
      </w:pPr>
      <w:r>
        <w:rPr>
          <w:rFonts w:eastAsia="Times New Roman"/>
          <w:kern w:val="0"/>
          <w:lang w:eastAsia="cs-CZ"/>
        </w:rPr>
        <w:t>Datové komunikace, využívající tohoto druhu přenosu, tj. přidružení datového přenosu k hlasovému kanálu, nemají obvykle vysokou datovou propustnost. Výjimkou není ani nejnovější spojovací síť známá pod názvem Matra. Výhodou je ta skutečnost, že tyto datové služby se přidruží k již existujícím a zavedeným technickým prostředkům, což velmi sníží cenu na jejich zavedení do praxe. Z důvodů této poměrně nevelké datové propustnosti a pro dosažení maximální kompaktnosti jsou zprávy kódovány pomocí tabulek. Výhodou této metody je i snadná úprava pro jiný jazyk (stačí jazykově lokalizovat obsah tabulek, uložených v přijímači).</w:t>
      </w:r>
    </w:p>
    <w:p>
      <w:pPr>
        <w:pStyle w:val="Textnormy"/>
        <w:suppressAutoHyphens w:val="false"/>
        <w:rPr>
          <w:rFonts w:eastAsia="Times New Roman"/>
          <w:kern w:val="0"/>
          <w:lang w:eastAsia="cs-CZ"/>
        </w:rPr>
      </w:pPr>
      <w:r>
        <w:rPr>
          <w:rFonts w:eastAsia="Times New Roman"/>
          <w:kern w:val="0"/>
          <w:lang w:eastAsia="cs-CZ"/>
        </w:rPr>
        <w:t>Tato technická specifikace se zabývá pouze aplikační vrstvou datové komunikace (tj. nezabývá se třeba principy modulace a demodulace datového signálu).</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Užití</w:t>
      </w:r>
    </w:p>
    <w:p>
      <w:pPr>
        <w:pStyle w:val="Textnormy"/>
        <w:suppressAutoHyphens w:val="false"/>
        <w:rPr>
          <w:rFonts w:eastAsia="Times New Roman"/>
          <w:spacing w:val="-4"/>
          <w:kern w:val="0"/>
          <w:lang w:eastAsia="cs-CZ"/>
        </w:rPr>
      </w:pPr>
      <w:r>
        <w:rPr>
          <w:rFonts w:eastAsia="Times New Roman"/>
          <w:spacing w:val="-4"/>
          <w:kern w:val="0"/>
          <w:lang w:eastAsia="cs-CZ"/>
        </w:rPr>
        <w:t xml:space="preserve">Protokol ALERT-C je určen k poskytování informačních zpráv řidičům vozidel, zaměřených převážně na události. </w:t>
      </w:r>
    </w:p>
    <w:p>
      <w:pPr>
        <w:pStyle w:val="Textnormy"/>
        <w:suppressAutoHyphens w:val="false"/>
        <w:rPr>
          <w:rFonts w:eastAsia="Times New Roman"/>
          <w:kern w:val="0"/>
          <w:lang w:eastAsia="cs-CZ"/>
        </w:rPr>
      </w:pPr>
      <w:r>
        <w:rPr>
          <w:rFonts w:eastAsia="Times New Roman"/>
          <w:kern w:val="0"/>
          <w:lang w:eastAsia="cs-CZ"/>
        </w:rPr>
        <w:t>Zprávy TMC jsou jazykově nezávislé a mohou být předkládány v jazyce podle volby uživatele. ALERT-C používá standardní evropský seznam popisů povětrnostních a dopravních problémů na všech úrovních.</w:t>
      </w:r>
    </w:p>
    <w:p>
      <w:pPr>
        <w:pStyle w:val="Textnormy"/>
        <w:suppressAutoHyphens w:val="false"/>
        <w:rPr>
          <w:rFonts w:eastAsia="Times New Roman"/>
          <w:kern w:val="0"/>
          <w:lang w:eastAsia="cs-CZ"/>
        </w:rPr>
      </w:pPr>
      <w:r>
        <w:rPr>
          <w:rFonts w:eastAsia="Times New Roman"/>
          <w:kern w:val="0"/>
          <w:lang w:eastAsia="cs-CZ"/>
        </w:rPr>
        <w:t>ALERT-C definuje dvě kategorie informací ve zprávách: základní a volitelné položky. Základní informace jsou obsaženy ve všech zprávách. Volitelné informace je možno do zpráv dodat tam, kde je to nutné.</w:t>
      </w:r>
    </w:p>
    <w:p>
      <w:pPr>
        <w:pStyle w:val="Textnormy"/>
        <w:suppressAutoHyphens w:val="false"/>
        <w:rPr>
          <w:rFonts w:eastAsia="Times New Roman"/>
          <w:kern w:val="0"/>
          <w:lang w:eastAsia="cs-CZ"/>
        </w:rPr>
      </w:pPr>
      <w:r>
        <w:rPr>
          <w:rFonts w:eastAsia="Times New Roman"/>
          <w:kern w:val="0"/>
          <w:lang w:eastAsia="cs-CZ"/>
        </w:rPr>
        <w:t xml:space="preserve">Standardní uživatelské zprávy TMC poskytují následujících pět základních položek: </w:t>
      </w:r>
    </w:p>
    <w:p>
      <w:pPr>
        <w:pStyle w:val="BodyText"/>
        <w:widowControl/>
        <w:numPr>
          <w:ilvl w:val="0"/>
          <w:numId w:val="6"/>
        </w:numPr>
        <w:suppressAutoHyphens w:val="false"/>
        <w:spacing w:before="0" w:after="0"/>
        <w:rPr>
          <w:rFonts w:ascii="Arial" w:hAnsi="Arial" w:eastAsia="Times New Roman" w:cs="Arial"/>
          <w:kern w:val="0"/>
          <w:sz w:val="20"/>
          <w:szCs w:val="20"/>
          <w:lang w:eastAsia="cs-CZ"/>
        </w:rPr>
      </w:pPr>
      <w:r>
        <w:rPr>
          <w:rFonts w:eastAsia="Times New Roman" w:cs="Arial" w:ascii="Arial" w:hAnsi="Arial"/>
          <w:b/>
          <w:kern w:val="0"/>
          <w:sz w:val="20"/>
          <w:szCs w:val="20"/>
          <w:lang w:eastAsia="cs-CZ"/>
        </w:rPr>
        <w:t>Popis události</w:t>
      </w:r>
      <w:r>
        <w:rPr>
          <w:rFonts w:eastAsia="Times New Roman" w:cs="Arial" w:ascii="Arial" w:hAnsi="Arial"/>
          <w:kern w:val="0"/>
          <w:sz w:val="20"/>
          <w:szCs w:val="20"/>
          <w:lang w:eastAsia="cs-CZ"/>
        </w:rPr>
        <w:t>, udávající podrobné údaje o povětrnostní situaci nebo dopravním problému (např. dopravní zácpa způsobená dopravní nehodou) a tam, kde je to vhodné, o jeho závažnosti (např. následná délka fronty vozidel).</w:t>
      </w:r>
    </w:p>
    <w:p>
      <w:pPr>
        <w:pStyle w:val="BodyText"/>
        <w:widowControl/>
        <w:numPr>
          <w:ilvl w:val="0"/>
          <w:numId w:val="2"/>
        </w:numPr>
        <w:suppressAutoHyphens w:val="false"/>
        <w:spacing w:before="0" w:after="0"/>
        <w:rPr>
          <w:rFonts w:ascii="Arial" w:hAnsi="Arial" w:eastAsia="Times New Roman" w:cs="Arial"/>
          <w:kern w:val="0"/>
          <w:sz w:val="20"/>
          <w:szCs w:val="20"/>
          <w:lang w:eastAsia="cs-CZ"/>
        </w:rPr>
      </w:pPr>
      <w:r>
        <w:rPr>
          <w:rFonts w:eastAsia="Times New Roman" w:cs="Arial" w:ascii="Arial" w:hAnsi="Arial"/>
          <w:b/>
          <w:kern w:val="0"/>
          <w:sz w:val="20"/>
          <w:szCs w:val="20"/>
          <w:lang w:eastAsia="cs-CZ"/>
        </w:rPr>
        <w:t>Místo</w:t>
      </w:r>
      <w:r>
        <w:rPr>
          <w:rFonts w:eastAsia="Times New Roman" w:cs="Arial" w:ascii="Arial" w:hAnsi="Arial"/>
          <w:kern w:val="0"/>
          <w:sz w:val="20"/>
          <w:szCs w:val="20"/>
          <w:lang w:eastAsia="cs-CZ"/>
        </w:rPr>
        <w:t>, udávající oblast, úsek pozemní komunikace nebo bodové místo, kde se nachází zdroj problému.</w:t>
      </w:r>
    </w:p>
    <w:p>
      <w:pPr>
        <w:pStyle w:val="BodyText"/>
        <w:widowControl/>
        <w:numPr>
          <w:ilvl w:val="0"/>
          <w:numId w:val="2"/>
        </w:numPr>
        <w:suppressAutoHyphens w:val="false"/>
        <w:spacing w:before="0" w:after="0"/>
        <w:rPr>
          <w:rFonts w:ascii="Arial" w:hAnsi="Arial" w:eastAsia="Times New Roman" w:cs="Arial"/>
          <w:kern w:val="0"/>
          <w:sz w:val="20"/>
          <w:szCs w:val="20"/>
          <w:lang w:eastAsia="cs-CZ"/>
        </w:rPr>
      </w:pPr>
      <w:r>
        <w:rPr>
          <w:rFonts w:eastAsia="Times New Roman" w:cs="Arial" w:ascii="Arial" w:hAnsi="Arial"/>
          <w:b/>
          <w:kern w:val="0"/>
          <w:sz w:val="20"/>
          <w:szCs w:val="20"/>
          <w:lang w:eastAsia="cs-CZ"/>
        </w:rPr>
        <w:t>Směr a rozsah</w:t>
      </w:r>
      <w:r>
        <w:rPr>
          <w:rFonts w:eastAsia="Times New Roman" w:cs="Arial" w:ascii="Arial" w:hAnsi="Arial"/>
          <w:kern w:val="0"/>
          <w:sz w:val="20"/>
          <w:szCs w:val="20"/>
          <w:lang w:eastAsia="cs-CZ"/>
        </w:rPr>
        <w:t>, identifikující přilehlé úseky pozemních komunikací nebo specifická bodová místa, které jsou rovněž nepříznivě ovlivněny dopravním incidentem, a v případě vhodnosti i směr nepříznivě ovlivněného provozu na pozemní komunikaci.</w:t>
      </w:r>
    </w:p>
    <w:p>
      <w:pPr>
        <w:pStyle w:val="BodyText"/>
        <w:widowControl/>
        <w:numPr>
          <w:ilvl w:val="0"/>
          <w:numId w:val="2"/>
        </w:numPr>
        <w:suppressAutoHyphens w:val="false"/>
        <w:spacing w:before="0" w:after="0"/>
        <w:rPr>
          <w:rFonts w:ascii="Arial" w:hAnsi="Arial" w:eastAsia="Times New Roman" w:cs="Arial"/>
          <w:kern w:val="0"/>
          <w:sz w:val="20"/>
          <w:szCs w:val="20"/>
          <w:lang w:eastAsia="cs-CZ"/>
        </w:rPr>
      </w:pPr>
      <w:r>
        <w:rPr>
          <w:rFonts w:eastAsia="Times New Roman" w:cs="Arial" w:ascii="Arial" w:hAnsi="Arial"/>
          <w:b/>
          <w:kern w:val="0"/>
          <w:sz w:val="20"/>
          <w:szCs w:val="20"/>
          <w:lang w:eastAsia="cs-CZ"/>
        </w:rPr>
        <w:t>Trvání</w:t>
      </w:r>
      <w:r>
        <w:rPr>
          <w:rFonts w:eastAsia="Times New Roman" w:cs="Arial" w:ascii="Arial" w:hAnsi="Arial"/>
          <w:kern w:val="0"/>
          <w:sz w:val="20"/>
          <w:szCs w:val="20"/>
          <w:lang w:eastAsia="cs-CZ"/>
        </w:rPr>
        <w:t>, udávající, jak dlouho má problém podle předpokladu trvat.</w:t>
      </w:r>
    </w:p>
    <w:p>
      <w:pPr>
        <w:pStyle w:val="BodyText"/>
        <w:widowControl/>
        <w:numPr>
          <w:ilvl w:val="0"/>
          <w:numId w:val="2"/>
        </w:numPr>
        <w:suppressAutoHyphens w:val="false"/>
        <w:ind w:hanging="357" w:start="357" w:end="0"/>
        <w:rPr>
          <w:rFonts w:ascii="Arial" w:hAnsi="Arial" w:eastAsia="Times New Roman" w:cs="Arial"/>
          <w:kern w:val="0"/>
          <w:sz w:val="20"/>
          <w:szCs w:val="20"/>
          <w:lang w:eastAsia="cs-CZ"/>
        </w:rPr>
      </w:pPr>
      <w:r>
        <w:rPr>
          <w:rFonts w:eastAsia="Times New Roman" w:cs="Arial" w:ascii="Arial" w:hAnsi="Arial"/>
          <w:b/>
          <w:kern w:val="0"/>
          <w:sz w:val="20"/>
          <w:szCs w:val="20"/>
          <w:lang w:eastAsia="cs-CZ"/>
        </w:rPr>
        <w:t>Doporučení k odklonění provozu,</w:t>
      </w:r>
      <w:r>
        <w:rPr>
          <w:rFonts w:eastAsia="Times New Roman" w:cs="Arial" w:ascii="Arial" w:hAnsi="Arial"/>
          <w:kern w:val="0"/>
          <w:sz w:val="20"/>
          <w:szCs w:val="20"/>
          <w:lang w:eastAsia="cs-CZ"/>
        </w:rPr>
        <w:t xml:space="preserve"> udávající, zda se řidičům doporučuje vyhledat a sledovat alternativní trasu nebo ne.</w:t>
      </w:r>
    </w:p>
    <w:p>
      <w:pPr>
        <w:pStyle w:val="Textnormy"/>
        <w:suppressAutoHyphens w:val="false"/>
        <w:rPr>
          <w:rFonts w:eastAsia="Times New Roman"/>
          <w:kern w:val="0"/>
          <w:lang w:eastAsia="cs-CZ"/>
        </w:rPr>
      </w:pPr>
      <w:r>
        <w:rPr>
          <w:rFonts w:eastAsia="Times New Roman"/>
          <w:kern w:val="0"/>
          <w:lang w:eastAsia="cs-CZ"/>
        </w:rPr>
        <w:t>Volitelné informace je možno přidat ke kterékoliv zprávě pomocí jedné nebo několika přídavných datových skupin RDS. Tento volitelný přídavek může poskytnout podrobnější údaje nebo může pojednávat o neobvyklých situacích. Všeobecně je možno přidat ke kterékoliv základní zprávě jakékoliv množství přídavných polí, závisející pouze na maximální délce zprávy pěti datových skupin RDS.</w:t>
      </w:r>
    </w:p>
    <w:p>
      <w:pPr>
        <w:pStyle w:val="Textnormy"/>
        <w:suppressAutoHyphens w:val="false"/>
        <w:rPr>
          <w:rFonts w:eastAsia="Times New Roman"/>
          <w:kern w:val="0"/>
          <w:lang w:eastAsia="cs-CZ"/>
        </w:rPr>
      </w:pPr>
      <w:r>
        <w:rPr>
          <w:rFonts w:eastAsia="Times New Roman"/>
          <w:kern w:val="0"/>
          <w:lang w:eastAsia="cs-CZ"/>
        </w:rPr>
        <w:t>Seznam událostí ALERT-C obsahuje popisy všech událostí. Je uveden samostatně v ČSN EN ISO 14819-2.</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Souvisící normy</w:t>
      </w:r>
    </w:p>
    <w:p>
      <w:pPr>
        <w:pStyle w:val="Textnormy"/>
        <w:suppressAutoHyphens w:val="false"/>
        <w:rPr>
          <w:rFonts w:eastAsia="Times New Roman"/>
          <w:kern w:val="0"/>
          <w:lang w:eastAsia="cs-CZ"/>
        </w:rPr>
      </w:pPr>
      <w:r>
        <w:rPr>
          <w:rFonts w:eastAsia="Times New Roman"/>
          <w:kern w:val="0"/>
          <w:lang w:eastAsia="cs-CZ"/>
        </w:rPr>
        <w:t>V této kapitole jsou uvedena odvolání na následující normy:</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IEC EN 62106:2000 Specifikace systému RDS pro VHF/FM zvukové vysílání v rozsahu od 87,5 MHz do 108,0 MHz</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EN ISO 14819-2 Dopravní a cestovní informace (TTI) – Zprávy TTI předávané prostřednictvím kódování dopravních zpráv, část 2: Akční a informační kódy pro kanál RDS –TMC</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EN ISO 14819-3 Dopravní a cestovní informace (TTI) – Zprávy TTI předávané prostřednictvím kódování dopravních zpráv, část 3: Odkazy na polohu pro ALERT C (kanálu RDS – TMC)</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EN ISO 14819-4 Dopravní a cestovní informace (TTI) – Zprávy TTI předávané prostřednictvím kódování dopravních zpráv, část 4: Protokol ALERT Plus</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 xml:space="preserve">CEN ENV 13106:2000 Slovník dopravních a cestovních dat DATEX (verze 3.1)  </w:t>
      </w:r>
    </w:p>
    <w:p>
      <w:pPr>
        <w:pStyle w:val="BodyText"/>
        <w:numPr>
          <w:ilvl w:val="0"/>
          <w:numId w:val="3"/>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EN 28601 – Datové prvky a formáty vzájemné výměny – Vzájemná výměna informací – Znázornění dat a časů (ISO 8601).</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3 Termíny, definice a zkratky</w:t>
      </w:r>
    </w:p>
    <w:p>
      <w:pPr>
        <w:pStyle w:val="Textnormy"/>
        <w:suppressAutoHyphens w:val="false"/>
        <w:rPr>
          <w:rFonts w:eastAsia="Times New Roman"/>
          <w:kern w:val="0"/>
          <w:lang w:eastAsia="cs-CZ"/>
        </w:rPr>
      </w:pPr>
      <w:r>
        <w:rPr>
          <w:rFonts w:eastAsia="Times New Roman"/>
          <w:kern w:val="0"/>
          <w:lang w:eastAsia="cs-CZ"/>
        </w:rPr>
        <w:t>Článek 3.1 obsahuje definice těchto pěti pojmů: Popis události, Místo, Směr a rozsah, Trvání a doporučení k objížďce.</w:t>
      </w:r>
    </w:p>
    <w:p>
      <w:pPr>
        <w:pStyle w:val="Textnormy"/>
        <w:suppressAutoHyphens w:val="false"/>
        <w:rPr>
          <w:rFonts w:eastAsia="Times New Roman"/>
          <w:kern w:val="0"/>
          <w:lang w:eastAsia="cs-CZ"/>
        </w:rPr>
      </w:pPr>
      <w:r>
        <w:rPr>
          <w:rFonts w:eastAsia="Times New Roman"/>
          <w:kern w:val="0"/>
          <w:lang w:eastAsia="cs-CZ"/>
        </w:rPr>
        <w:t>Článek 3. 2 obsahuje popis 8 zkratek, které jsou použity v této části RDS, TMC, ALERT-C, ALERT-Plus, EBU, ECMT, CEMT a UER.</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4 Aplikace</w:t>
      </w:r>
    </w:p>
    <w:p>
      <w:pPr>
        <w:pStyle w:val="Textnormy"/>
        <w:suppressAutoHyphens w:val="false"/>
        <w:rPr>
          <w:rFonts w:eastAsia="Times New Roman"/>
          <w:kern w:val="0"/>
          <w:lang w:eastAsia="cs-CZ"/>
        </w:rPr>
      </w:pPr>
      <w:r>
        <w:rPr>
          <w:rFonts w:eastAsia="Times New Roman"/>
          <w:kern w:val="0"/>
          <w:lang w:eastAsia="cs-CZ"/>
        </w:rPr>
        <w:t xml:space="preserve">Zprávy o provozu na pozemních komunikacích, vysílané rozhlasem, poskytují již nyní cenné informace pro motoristy v celé Evropě. V České republice se jedná o jeden z mála celoplošně fungujících informačních kanálů, přenášejících dopravní informace. </w:t>
      </w:r>
    </w:p>
    <w:p>
      <w:pPr>
        <w:pStyle w:val="Textnormy"/>
        <w:suppressAutoHyphens w:val="false"/>
        <w:rPr>
          <w:rFonts w:eastAsia="Times New Roman"/>
          <w:kern w:val="0"/>
          <w:lang w:eastAsia="cs-CZ"/>
        </w:rPr>
      </w:pPr>
      <w:r>
        <w:rPr>
          <w:rFonts w:eastAsia="Times New Roman"/>
          <w:kern w:val="0"/>
          <w:lang w:eastAsia="cs-CZ"/>
        </w:rPr>
        <w:t>Protokol ALERT-C, definovaný v této specifikaci, podporuje digitální, tichou rozhlasovou službu pro motoristy tím, že poskytuje informace o mnoha druzích dopravních událostí. Jde o informace o silničních pracích, povětrnostních a dopravních incidentech, které se týkají hlavních státních a mezinárodních silnic, regionálních silnic nebo městských komunikací.</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5 Prezentace</w:t>
      </w:r>
    </w:p>
    <w:p>
      <w:pPr>
        <w:pStyle w:val="Textnormy"/>
        <w:suppressAutoHyphens w:val="false"/>
        <w:rPr>
          <w:rFonts w:eastAsia="Times New Roman"/>
          <w:spacing w:val="-2"/>
          <w:kern w:val="0"/>
          <w:lang w:eastAsia="cs-CZ"/>
        </w:rPr>
      </w:pPr>
      <w:r>
        <w:rPr>
          <w:rFonts w:eastAsia="Times New Roman"/>
          <w:spacing w:val="-2"/>
          <w:kern w:val="0"/>
          <w:lang w:eastAsia="cs-CZ"/>
        </w:rPr>
        <w:t>Prezentační část protokolu ALERT-C specifikuje zprávy, které je možno předkládat uživateli v souladu s obecnými požadavky, stanovenými v aplikační části. Definuje strukturu a obsah zprávy a její předložení řidiči.</w:t>
      </w:r>
    </w:p>
    <w:p>
      <w:pPr>
        <w:pStyle w:val="Textnormy"/>
        <w:suppressAutoHyphens w:val="false"/>
        <w:rPr>
          <w:rFonts w:eastAsia="Times New Roman"/>
          <w:kern w:val="0"/>
          <w:lang w:eastAsia="cs-CZ"/>
        </w:rPr>
      </w:pPr>
      <w:r>
        <w:rPr>
          <w:rFonts w:eastAsia="Times New Roman"/>
          <w:kern w:val="0"/>
          <w:lang w:eastAsia="cs-CZ"/>
        </w:rPr>
        <w:t>Informace kanálu dopravních zpráv (TMC) se předává pomocí „virtuálního jazyka“, v němž rozhlasově vysílané kódy obsahují odkazy na položky číselníků, uložené v databázích dekodérů. Tyto databáze obsahují seznamy povětrnostních a dopravních situací, doporučení, doby trvání a další informace, plus seznamy míst, včetně křižovatek, čísla silnic a názvy míst.</w:t>
      </w:r>
    </w:p>
    <w:p>
      <w:pPr>
        <w:pStyle w:val="Textnormy"/>
        <w:suppressAutoHyphens w:val="false"/>
        <w:rPr>
          <w:rFonts w:eastAsia="Times New Roman"/>
          <w:b/>
          <w:kern w:val="0"/>
          <w:lang w:eastAsia="cs-CZ"/>
        </w:rPr>
      </w:pPr>
      <w:r>
        <w:rPr>
          <w:rFonts w:eastAsia="Times New Roman"/>
          <w:b/>
          <w:kern w:val="0"/>
          <w:lang w:eastAsia="cs-CZ"/>
        </w:rPr>
        <w:t>Prezentační část zahrnuje řadu postupů:</w:t>
      </w:r>
    </w:p>
    <w:p>
      <w:pPr>
        <w:pStyle w:val="Textnormy"/>
        <w:suppressAutoHyphens w:val="false"/>
        <w:rPr>
          <w:rFonts w:eastAsia="Times New Roman"/>
          <w:kern w:val="0"/>
          <w:lang w:eastAsia="cs-CZ"/>
        </w:rPr>
      </w:pPr>
      <w:r>
        <w:rPr>
          <w:rFonts w:eastAsia="Times New Roman"/>
          <w:kern w:val="0"/>
          <w:lang w:eastAsia="cs-CZ"/>
        </w:rPr>
        <w:t>Informace, týkající se určité události, je před vysíláním zmapována do virtuálního jazyka pomocí výběru z vložených menu popisů událostí a jiných položek nebo pomocí plně automatizovaného dopravního monitorovacího a hlásného systému.</w:t>
      </w:r>
    </w:p>
    <w:p>
      <w:pPr>
        <w:pStyle w:val="Textnormy"/>
        <w:suppressAutoHyphens w:val="false"/>
        <w:rPr>
          <w:rFonts w:eastAsia="Times New Roman"/>
          <w:kern w:val="0"/>
          <w:lang w:eastAsia="cs-CZ"/>
        </w:rPr>
      </w:pPr>
      <w:r>
        <w:rPr>
          <w:rFonts w:eastAsia="Times New Roman"/>
          <w:kern w:val="0"/>
          <w:lang w:eastAsia="cs-CZ"/>
        </w:rPr>
        <w:t>Výsledné zakódované zprávy jsou opakovaně vysílány prostřednictvím RDS, s maximálním intervalem mezi opakováním 15 minut.</w:t>
      </w:r>
    </w:p>
    <w:p>
      <w:pPr>
        <w:pStyle w:val="Textnormy"/>
        <w:suppressAutoHyphens w:val="false"/>
        <w:rPr>
          <w:rFonts w:eastAsia="Times New Roman"/>
          <w:kern w:val="0"/>
          <w:lang w:eastAsia="cs-CZ"/>
        </w:rPr>
      </w:pPr>
      <w:r>
        <w:rPr>
          <w:rFonts w:eastAsia="Times New Roman"/>
          <w:kern w:val="0"/>
          <w:lang w:eastAsia="cs-CZ"/>
        </w:rPr>
        <w:t>Kódy TMC jsou v přijímači prověřeny za účelem zjištění, zda obsahují nějaké nové informace, nebo jde o aktualizované informace z již přijatých zpráv. Nové kódy jsou uloženy do paměti a jsou podrobeny managementu zpráv.</w:t>
      </w:r>
    </w:p>
    <w:p>
      <w:pPr>
        <w:pStyle w:val="Textnormy"/>
        <w:suppressAutoHyphens w:val="false"/>
        <w:rPr>
          <w:rFonts w:eastAsia="Times New Roman"/>
          <w:kern w:val="0"/>
          <w:lang w:eastAsia="cs-CZ"/>
        </w:rPr>
      </w:pPr>
      <w:r>
        <w:rPr>
          <w:rFonts w:eastAsia="Times New Roman"/>
          <w:kern w:val="0"/>
          <w:lang w:eastAsia="cs-CZ"/>
        </w:rPr>
        <w:t>Kódy jsou v příhodné době převedeny zpět do zpráv pomocí vyhledávacích tabulek za účelem jejich předložení řidiči.</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6 Management zpráv</w:t>
      </w:r>
    </w:p>
    <w:p>
      <w:pPr>
        <w:pStyle w:val="Textnormy"/>
        <w:suppressAutoHyphens w:val="false"/>
        <w:rPr>
          <w:rFonts w:eastAsia="Times New Roman"/>
          <w:kern w:val="0"/>
          <w:lang w:eastAsia="cs-CZ"/>
        </w:rPr>
      </w:pPr>
      <w:r>
        <w:rPr>
          <w:rFonts w:eastAsia="Times New Roman"/>
          <w:kern w:val="0"/>
          <w:lang w:eastAsia="cs-CZ"/>
        </w:rPr>
        <w:t>Část managementu zpráv pojednává o funkcích managementu zpráv RDS-TMC. Pokud jde o rozhlasovou organizaci, funkce managementu zpráv zahrnují vkládání zpráv, jejich zrušení, opakování a aktualizaci. Podobně pak i v přijímači funkce managementu zpráv zahrnují identifikaci nových zpráv a zrušení starých zpráv a aktualizaci zpráv.</w:t>
      </w:r>
    </w:p>
    <w:p>
      <w:pPr>
        <w:pStyle w:val="Textnormy"/>
        <w:suppressAutoHyphens w:val="false"/>
        <w:rPr>
          <w:rFonts w:eastAsia="Times New Roman"/>
          <w:kern w:val="0"/>
          <w:lang w:eastAsia="cs-CZ"/>
        </w:rPr>
      </w:pPr>
      <w:r>
        <w:rPr>
          <w:rFonts w:eastAsia="Times New Roman"/>
          <w:kern w:val="0"/>
          <w:lang w:eastAsia="cs-CZ"/>
        </w:rPr>
        <w:t>Protokol ALERT-C proto definuje následující položky:</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systémové informace,</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ladicí informace,</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vkládání zpráv,</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opakování zpráv,</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zrušení zpráv,</w:t>
      </w:r>
    </w:p>
    <w:p>
      <w:pPr>
        <w:pStyle w:val="BodyText"/>
        <w:numPr>
          <w:ilvl w:val="0"/>
          <w:numId w:val="4"/>
        </w:numPr>
        <w:rPr>
          <w:rFonts w:ascii="Arial" w:hAnsi="Arial" w:eastAsia="Times New Roman" w:cs="Arial"/>
          <w:kern w:val="0"/>
          <w:sz w:val="20"/>
          <w:szCs w:val="20"/>
          <w:lang w:eastAsia="cs-CZ"/>
        </w:rPr>
      </w:pPr>
      <w:r>
        <w:rPr>
          <w:rFonts w:eastAsia="Times New Roman" w:cs="Arial" w:ascii="Arial" w:hAnsi="Arial"/>
          <w:kern w:val="0"/>
          <w:sz w:val="20"/>
          <w:szCs w:val="20"/>
          <w:lang w:eastAsia="cs-CZ"/>
        </w:rPr>
        <w:t>řídicí kódy.</w:t>
      </w:r>
    </w:p>
    <w:p>
      <w:pPr>
        <w:pStyle w:val="Textnormy"/>
        <w:suppressAutoHyphens w:val="false"/>
        <w:rPr>
          <w:rFonts w:eastAsia="Times New Roman"/>
          <w:kern w:val="0"/>
          <w:lang w:eastAsia="cs-CZ"/>
        </w:rPr>
      </w:pPr>
      <w:r>
        <w:rPr>
          <w:rFonts w:eastAsia="Times New Roman"/>
          <w:kern w:val="0"/>
          <w:lang w:eastAsia="cs-CZ"/>
        </w:rPr>
        <w:t>Rozlišují se uživatelské zprávy a systémové zprávy. Uživatelské zprávy jsou zprávy, které jsou potenciálně oznamovány řidičům, jak je definováno v prezentační části. Systémové zprávy slouží pouze pro dekodér TMC, pro účely managementu zpráv.</w:t>
      </w:r>
    </w:p>
    <w:p>
      <w:pPr>
        <w:pStyle w:val="Textnormy"/>
        <w:suppressAutoHyphens w:val="false"/>
        <w:rPr>
          <w:rFonts w:eastAsia="Times New Roman"/>
          <w:b/>
          <w:kern w:val="0"/>
          <w:sz w:val="22"/>
          <w:szCs w:val="22"/>
          <w:lang w:eastAsia="cs-CZ"/>
        </w:rPr>
      </w:pPr>
      <w:r>
        <w:rPr>
          <w:rFonts w:eastAsia="Times New Roman"/>
          <w:b/>
          <w:kern w:val="0"/>
          <w:sz w:val="22"/>
          <w:szCs w:val="22"/>
          <w:lang w:eastAsia="cs-CZ"/>
        </w:rPr>
        <w:t>7 Přenos</w:t>
      </w:r>
    </w:p>
    <w:p>
      <w:pPr>
        <w:pStyle w:val="Textnormy"/>
        <w:suppressAutoHyphens w:val="false"/>
        <w:rPr>
          <w:rFonts w:eastAsia="Times New Roman"/>
          <w:kern w:val="0"/>
          <w:lang w:eastAsia="cs-CZ"/>
        </w:rPr>
      </w:pPr>
      <w:r>
        <w:rPr>
          <w:rFonts w:eastAsia="Times New Roman"/>
          <w:kern w:val="0"/>
          <w:lang w:eastAsia="cs-CZ"/>
        </w:rPr>
        <w:t>Přenosová část TMC přenáší zprávy bezdrátově vzdušnou cestou. Přenos je jednosměrný a zvýšení spolehlivosti přenosu lze dosáhnout pouze pomocí vícenásobného opakování zprávy. ALERT-C předpokládá, že periodické opakování zpráv v části managementu zpráv (viz 6.2) bude doplněno okamžitým opakováním každé skupiny při vysílání. Každá skupina je  vysílána dvakrát (v současné době JSDI) po sobě, předtím, než je vysílána další skupina. Trojnásobné opakování se bere jako dostatečné zajištění přenosu.</w:t>
      </w:r>
    </w:p>
    <w:p>
      <w:pPr>
        <w:pStyle w:val="Textnormy"/>
        <w:suppressAutoHyphens w:val="false"/>
        <w:rPr>
          <w:rFonts w:eastAsia="Times New Roman"/>
          <w:kern w:val="0"/>
          <w:lang w:eastAsia="cs-CZ"/>
        </w:rPr>
      </w:pPr>
      <w:r>
        <w:rPr>
          <w:rFonts w:eastAsia="Times New Roman"/>
          <w:kern w:val="0"/>
          <w:lang w:eastAsia="cs-CZ"/>
        </w:rPr>
        <w:t>Doporučuje se, aby skupiny byly akceptovány jako platné pouze potom, co byly přijaty dvě bit-po-bitu identické kopie téže skupiny (pokud jde o bity TMC, kromě indexu kontinuity), buď prostřednictvím vysílání nebo opakování zpráv. Použití korekce chyb RDS je ponecháno na výrobci přijímače. Tato část specifikuje mapování zpráv definovaných prezentační částí a částí managementu zpráv do skupin RDS sítě a nižších vrstev. Na této úrovni se zabezpečuje také identifikace čísla skupin RDS, použitých k přenosu každé skupiny a kódy pro identifikaci, spojování a synchronizaci sledů dvou nebo více skupin.</w:t>
      </w:r>
    </w:p>
    <w:p>
      <w:pPr>
        <w:pStyle w:val="Textnormy"/>
        <w:suppressAutoHyphens w:val="false"/>
        <w:rPr>
          <w:rFonts w:eastAsia="Times New Roman"/>
          <w:kern w:val="0"/>
          <w:lang w:eastAsia="cs-CZ"/>
        </w:rPr>
      </w:pPr>
      <w:r>
        <w:rPr>
          <w:rFonts w:eastAsia="Times New Roman"/>
          <w:kern w:val="0"/>
          <w:lang w:eastAsia="cs-CZ"/>
        </w:rPr>
        <w:t>Celá skupina RDS-TMC je díky kódování událostí i polohy velmi krátká, viz následující tabulka:</w:t>
      </w:r>
    </w:p>
    <w:p>
      <w:pPr>
        <w:pStyle w:val="Textnormy"/>
        <w:suppressAutoHyphens w:val="false"/>
        <w:rPr>
          <w:rFonts w:eastAsia="Times New Roman"/>
          <w:kern w:val="0"/>
          <w:lang w:eastAsia="cs-CZ"/>
        </w:rPr>
      </w:pPr>
      <w:r>
        <w:rPr>
          <w:rFonts w:eastAsia="Times New Roman"/>
          <w:kern w:val="0"/>
          <w:lang w:eastAsia="cs-CZ"/>
        </w:rPr>
      </w:r>
    </w:p>
    <w:p>
      <w:pPr>
        <w:pStyle w:val="BodyText"/>
        <w:jc w:val="center"/>
        <w:rPr>
          <w:rFonts w:ascii="Arial" w:hAnsi="Arial" w:eastAsia="Times New Roman" w:cs="Arial"/>
          <w:b/>
          <w:bCs/>
          <w:kern w:val="0"/>
          <w:sz w:val="20"/>
          <w:szCs w:val="20"/>
          <w:lang w:eastAsia="cs-CZ"/>
        </w:rPr>
      </w:pPr>
      <w:r>
        <w:rPr>
          <w:rFonts w:eastAsia="Times New Roman" w:cs="Arial" w:ascii="Arial" w:hAnsi="Arial"/>
          <w:b/>
          <w:bCs/>
          <w:kern w:val="0"/>
          <w:sz w:val="20"/>
          <w:szCs w:val="20"/>
          <w:lang w:eastAsia="cs-CZ"/>
        </w:rPr>
        <w:t>Tabulka 1 –</w:t>
      </w:r>
      <w:r>
        <w:rPr/>
        <w:t xml:space="preserve"> Kódování událostí</w:t>
      </w:r>
    </w:p>
    <w:tbl>
      <w:tblPr>
        <w:tblW w:w="9777" w:type="dxa"/>
        <w:jc w:val="center"/>
        <w:tblInd w:w="0" w:type="dxa"/>
        <w:tblLayout w:type="fixed"/>
        <w:tblCellMar>
          <w:top w:w="0" w:type="dxa"/>
          <w:start w:w="108" w:type="dxa"/>
          <w:bottom w:w="0" w:type="dxa"/>
          <w:end w:w="108" w:type="dxa"/>
        </w:tblCellMar>
      </w:tblPr>
      <w:tblGrid>
        <w:gridCol w:w="4888"/>
        <w:gridCol w:w="4889"/>
      </w:tblGrid>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b/>
                <w:kern w:val="0"/>
              </w:rPr>
            </w:pPr>
            <w:r>
              <w:rPr>
                <w:b/>
                <w:kern w:val="0"/>
              </w:rPr>
              <w:t>Položka zprávy RDS - TMC</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b/>
                <w:kern w:val="0"/>
              </w:rPr>
            </w:pPr>
            <w:r>
              <w:rPr>
                <w:b/>
                <w:kern w:val="0"/>
              </w:rPr>
              <w:t>Bitová délka</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Kód události</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11 bitů</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 xml:space="preserve">Lokalizace </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16 bitů</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Směr</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1 bit</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Rozšířené údaje</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3 bity</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Trvání události</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3 bity</w:t>
            </w:r>
          </w:p>
        </w:tc>
      </w:tr>
      <w:tr>
        <w:trPr/>
        <w:tc>
          <w:tcPr>
            <w:tcW w:w="4888" w:type="dxa"/>
            <w:tcBorders>
              <w:top w:val="single" w:sz="4" w:space="0" w:color="000000"/>
              <w:start w:val="single" w:sz="4" w:space="0" w:color="000000"/>
              <w:bottom w:val="single" w:sz="4" w:space="0" w:color="000000"/>
              <w:end w:val="single" w:sz="4" w:space="0" w:color="000000"/>
            </w:tcBorders>
          </w:tcPr>
          <w:p>
            <w:pPr>
              <w:pStyle w:val="Texttabulky"/>
              <w:spacing w:before="60" w:after="60"/>
              <w:rPr>
                <w:kern w:val="0"/>
              </w:rPr>
            </w:pPr>
            <w:r>
              <w:rPr>
                <w:kern w:val="0"/>
              </w:rPr>
              <w:t>Doporučení pro objížďku</w:t>
            </w:r>
          </w:p>
        </w:tc>
        <w:tc>
          <w:tcPr>
            <w:tcW w:w="4889" w:type="dxa"/>
            <w:tcBorders>
              <w:top w:val="single" w:sz="4" w:space="0" w:color="000000"/>
              <w:start w:val="single" w:sz="4" w:space="0" w:color="000000"/>
              <w:bottom w:val="single" w:sz="4" w:space="0" w:color="000000"/>
              <w:end w:val="single" w:sz="4" w:space="0" w:color="000000"/>
            </w:tcBorders>
          </w:tcPr>
          <w:p>
            <w:pPr>
              <w:pStyle w:val="Texttabulky"/>
              <w:spacing w:before="60" w:after="60"/>
              <w:jc w:val="center"/>
              <w:rPr>
                <w:kern w:val="0"/>
              </w:rPr>
            </w:pPr>
            <w:r>
              <w:rPr>
                <w:kern w:val="0"/>
              </w:rPr>
              <w:t>1bit</w:t>
            </w:r>
          </w:p>
        </w:tc>
      </w:tr>
    </w:tbl>
    <w:p>
      <w:pPr>
        <w:pStyle w:val="BodyText"/>
        <w:spacing w:before="0" w:after="120"/>
        <w:rPr>
          <w:rFonts w:ascii="Arial" w:hAnsi="Arial" w:eastAsia="Times New Roman" w:cs="Arial"/>
          <w:kern w:val="0"/>
          <w:sz w:val="20"/>
          <w:szCs w:val="20"/>
          <w:lang w:eastAsia="cs-CZ"/>
        </w:rPr>
      </w:pPr>
      <w:r>
        <w:rPr>
          <w:rFonts w:eastAsia="Times New Roman" w:cs="Arial" w:ascii="Arial" w:hAnsi="Arial"/>
          <w:kern w:val="0"/>
          <w:sz w:val="20"/>
          <w:szCs w:val="20"/>
          <w:lang w:eastAsia="cs-CZ"/>
        </w:rPr>
      </w:r>
    </w:p>
    <w:sectPr>
      <w:footerReference w:type="default" r:id="rId2"/>
      <w:type w:val="nextPage"/>
      <w:pgSz w:w="11906" w:h="16838"/>
      <w:pgMar w:left="1134" w:right="1134" w:gutter="0" w:header="0" w:top="1134" w:footer="1134" w:bottom="18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Liberation Sans">
    <w:altName w:val="Arial"/>
    <w:charset w:val="01" w:characterSet="utf-8"/>
    <w:family w:val="swiss"/>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13" w:after="113"/>
      <w:jc w:val="center"/>
      <w:rPr/>
    </w:pPr>
    <w:r>
      <w:rPr/>
    </w:r>
    <w:r>
      <mc:AlternateContent>
        <mc:Choice Requires="wps">
          <w:drawing>
            <wp:anchor distT="0" distB="0" distL="0" distR="0" simplePos="0" relativeHeight="5" behindDoc="0" locked="0" layoutInCell="0" allowOverlap="1">
              <wp:simplePos x="0" y="0"/>
              <wp:positionH relativeFrom="page">
                <wp:posOffset>3677285</wp:posOffset>
              </wp:positionH>
              <wp:positionV relativeFrom="paragraph">
                <wp:posOffset>-12700</wp:posOffset>
              </wp:positionV>
              <wp:extent cx="71120" cy="217805"/>
              <wp:effectExtent l="0" t="0" r="0" b="0"/>
              <wp:wrapSquare wrapText="bothSides"/>
              <wp:docPr id="1" name="Frame1"/>
              <a:graphic xmlns:a="http://schemas.openxmlformats.org/drawingml/2006/main">
                <a:graphicData uri="http://schemas.microsoft.com/office/word/2010/wordprocessingShape">
                  <wps:wsp>
                    <wps:cNvSpPr txBox="1"/>
                    <wps:spPr>
                      <a:xfrm>
                        <a:off x="0" y="0"/>
                        <a:ext cx="71120" cy="217805"/>
                      </a:xfrm>
                      <a:prstGeom prst="rect"/>
                      <a:solidFill>
                        <a:srgbClr val="FFFFFF">
                          <a:alpha val="0"/>
                        </a:srgbClr>
                      </a:solidFill>
                    </wps:spPr>
                    <wps:txbx>
                      <w:txbxContent>
                        <w:p>
                          <w:pPr>
                            <w:pStyle w:val="Footer"/>
                            <w:spacing w:before="113" w:after="113"/>
                            <w:rPr>
                              <w:rStyle w:val="PageNumber"/>
                              <w:rFonts w:ascii="Arial" w:hAnsi="Arial" w:cs="Arial"/>
                              <w:sz w:val="20"/>
                              <w:szCs w:val="20"/>
                            </w:rPr>
                          </w:pPr>
                          <w:r>
                            <w:rPr>
                              <w:rStyle w:val="PageNumber"/>
                              <w:rFonts w:cs="Arial" w:ascii="Arial" w:hAnsi="Arial"/>
                              <w:sz w:val="20"/>
                              <w:szCs w:val="20"/>
                            </w:rPr>
                            <w:fldChar w:fldCharType="begin"/>
                          </w:r>
                          <w:r>
                            <w:rPr>
                              <w:rStyle w:val="PageNumber"/>
                              <w:rFonts w:cs="Arial" w:ascii="Arial" w:hAnsi="Arial"/>
                              <w:sz w:val="20"/>
                              <w:szCs w:val="20"/>
                            </w:rPr>
                            <w:instrText xml:space="preserve"> PAGE </w:instrText>
                          </w:r>
                          <w:r>
                            <w:rPr>
                              <w:rStyle w:val="PageNumber"/>
                              <w:rFonts w:cs="Arial" w:ascii="Arial" w:hAnsi="Arial"/>
                              <w:sz w:val="20"/>
                              <w:szCs w:val="20"/>
                            </w:rPr>
                            <w:fldChar w:fldCharType="separate"/>
                          </w:r>
                          <w:r>
                            <w:rPr>
                              <w:rStyle w:val="PageNumber"/>
                              <w:rFonts w:cs="Arial" w:ascii="Arial" w:hAnsi="Arial"/>
                              <w:sz w:val="20"/>
                              <w:szCs w:val="20"/>
                            </w:rPr>
                            <w:t>4</w:t>
                          </w:r>
                          <w:r>
                            <w:rPr>
                              <w:rStyle w:val="PageNumber"/>
                              <w:rFonts w:cs="Arial" w:ascii="Arial" w:hAnsi="Arial"/>
                              <w:sz w:val="20"/>
                              <w:szCs w:val="20"/>
                            </w:rPr>
                            <w:fldChar w:fldCharType="end"/>
                          </w:r>
                        </w:p>
                      </w:txbxContent>
                    </wps:txbx>
                    <wps:bodyPr anchor="t" lIns="0" tIns="0" rIns="0" bIns="0">
                      <a:noAutofit/>
                    </wps:bodyPr>
                  </wps:wsp>
                </a:graphicData>
              </a:graphic>
            </wp:anchor>
          </w:drawing>
        </mc:Choice>
        <mc:Fallback>
          <w:pict>
            <v:rect fillcolor="#FFFFFF" style="position:absolute;rotation:-0;width:5.6pt;height:17.15pt;mso-wrap-distance-left:0pt;mso-wrap-distance-right:0pt;mso-wrap-distance-top:0pt;mso-wrap-distance-bottom:0pt;margin-top:-1pt;mso-position-vertical-relative:text;margin-left:289.55pt;mso-position-horizontal-relative:page">
              <v:fill opacity="0f"/>
              <v:textbox inset="0in,0in,0in,0in">
                <w:txbxContent>
                  <w:p>
                    <w:pPr>
                      <w:pStyle w:val="Footer"/>
                      <w:spacing w:before="113" w:after="113"/>
                      <w:rPr>
                        <w:rStyle w:val="PageNumber"/>
                        <w:rFonts w:ascii="Arial" w:hAnsi="Arial" w:cs="Arial"/>
                        <w:sz w:val="20"/>
                        <w:szCs w:val="20"/>
                      </w:rPr>
                    </w:pPr>
                    <w:r>
                      <w:rPr>
                        <w:rStyle w:val="PageNumber"/>
                        <w:rFonts w:cs="Arial" w:ascii="Arial" w:hAnsi="Arial"/>
                        <w:sz w:val="20"/>
                        <w:szCs w:val="20"/>
                      </w:rPr>
                      <w:fldChar w:fldCharType="begin"/>
                    </w:r>
                    <w:r>
                      <w:rPr>
                        <w:rStyle w:val="PageNumber"/>
                        <w:rFonts w:cs="Arial" w:ascii="Arial" w:hAnsi="Arial"/>
                        <w:sz w:val="20"/>
                        <w:szCs w:val="20"/>
                      </w:rPr>
                      <w:instrText xml:space="preserve"> PAGE </w:instrText>
                    </w:r>
                    <w:r>
                      <w:rPr>
                        <w:rStyle w:val="PageNumber"/>
                        <w:rFonts w:cs="Arial" w:ascii="Arial" w:hAnsi="Arial"/>
                        <w:sz w:val="20"/>
                        <w:szCs w:val="20"/>
                      </w:rPr>
                      <w:fldChar w:fldCharType="separate"/>
                    </w:r>
                    <w:r>
                      <w:rPr>
                        <w:rStyle w:val="PageNumber"/>
                        <w:rFonts w:cs="Arial" w:ascii="Arial" w:hAnsi="Arial"/>
                        <w:sz w:val="20"/>
                        <w:szCs w:val="20"/>
                      </w:rPr>
                      <w:t>4</w:t>
                    </w:r>
                    <w:r>
                      <w:rPr>
                        <w:rStyle w:val="PageNumber"/>
                        <w:rFonts w:cs="Arial" w:ascii="Arial" w:hAnsi="Arial"/>
                        <w:sz w:val="20"/>
                        <w:szCs w:val="20"/>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b/>
      </w:rPr>
    </w:lvl>
    <w:lvl w:ilvl="1">
      <w:start w:val="2"/>
      <w:numFmt w:val="decimal"/>
      <w:isLgl/>
      <w:lvlText w:val="%1.%2"/>
      <w:lvlJc w:val="start"/>
      <w:pPr>
        <w:tabs>
          <w:tab w:val="num" w:pos="705"/>
        </w:tabs>
        <w:ind w:start="705" w:hanging="705"/>
      </w:pPr>
    </w:lvl>
    <w:lvl w:ilvl="2">
      <w:start w:val="3"/>
      <w:numFmt w:val="decimal"/>
      <w:isLgl/>
      <w:lvlText w:val="%1.%2.%3"/>
      <w:lvlJc w:val="start"/>
      <w:pPr>
        <w:tabs>
          <w:tab w:val="num" w:pos="720"/>
        </w:tabs>
        <w:ind w:start="720" w:hanging="720"/>
      </w:pPr>
    </w:lvl>
    <w:lvl w:ilvl="3">
      <w:start w:val="2"/>
      <w:numFmt w:val="decimal"/>
      <w:isLgl/>
      <w:lvlText w:val="%1.%2.%3.%4"/>
      <w:lvlJc w:val="start"/>
      <w:pPr>
        <w:tabs>
          <w:tab w:val="num" w:pos="720"/>
        </w:tabs>
        <w:ind w:start="720" w:hanging="720"/>
      </w:pPr>
    </w:lvl>
    <w:lvl w:ilvl="4">
      <w:start w:val="1"/>
      <w:numFmt w:val="decimal"/>
      <w:isLgl/>
      <w:lvlText w:val="%1.%2.%3.%4.%5"/>
      <w:lvlJc w:val="start"/>
      <w:pPr>
        <w:tabs>
          <w:tab w:val="num" w:pos="720"/>
        </w:tabs>
        <w:ind w:start="720" w:hanging="720"/>
      </w:pPr>
    </w:lvl>
    <w:lvl w:ilvl="5">
      <w:start w:val="1"/>
      <w:numFmt w:val="decimal"/>
      <w:isLgl/>
      <w:lvlText w:val="%1.%2.%3.%4.%5.%6"/>
      <w:lvlJc w:val="start"/>
      <w:pPr>
        <w:tabs>
          <w:tab w:val="num" w:pos="1080"/>
        </w:tabs>
        <w:ind w:start="1080" w:hanging="1080"/>
      </w:pPr>
    </w:lvl>
    <w:lvl w:ilvl="6">
      <w:start w:val="1"/>
      <w:numFmt w:val="decimal"/>
      <w:isLgl/>
      <w:lvlText w:val="%1.%2.%3.%4.%5.%6.%7"/>
      <w:lvlJc w:val="start"/>
      <w:pPr>
        <w:tabs>
          <w:tab w:val="num" w:pos="1080"/>
        </w:tabs>
        <w:ind w:start="1080" w:hanging="1080"/>
      </w:pPr>
    </w:lvl>
    <w:lvl w:ilvl="7">
      <w:start w:val="1"/>
      <w:numFmt w:val="decimal"/>
      <w:isLgl/>
      <w:lvlText w:val="%1.%2.%3.%4.%5.%6.%7.%8"/>
      <w:lvlJc w:val="start"/>
      <w:pPr>
        <w:tabs>
          <w:tab w:val="num" w:pos="1440"/>
        </w:tabs>
        <w:ind w:start="1440" w:hanging="1440"/>
      </w:pPr>
    </w:lvl>
    <w:lvl w:ilvl="8">
      <w:start w:val="1"/>
      <w:numFmt w:val="decimal"/>
      <w:isLgl/>
      <w:lvlText w:val="%1.%2.%3.%4.%5.%6.%7.%8.%9"/>
      <w:lvlJc w:val="start"/>
      <w:pPr>
        <w:tabs>
          <w:tab w:val="num" w:pos="1440"/>
        </w:tabs>
        <w:ind w:start="1440" w:hanging="1440"/>
      </w:p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3192"/>
        </w:tabs>
        <w:ind w:start="3192" w:hanging="360"/>
      </w:pPr>
      <w:rPr>
        <w:rFonts w:ascii="Times New Roman" w:hAnsi="Times New Roman" w:cs="Times New Roman" w:hint="default"/>
      </w:r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113" w:after="113"/>
      <w:jc w:val="both"/>
    </w:pPr>
    <w:rPr>
      <w:rFonts w:ascii="Times New Roman" w:hAnsi="Times New Roman" w:eastAsia="Lucida Sans Unicode" w:cs="Times New Roman"/>
      <w:color w:val="auto"/>
      <w:kern w:val="2"/>
      <w:sz w:val="24"/>
      <w:szCs w:val="24"/>
      <w:lang w:val="cs-CZ" w:bidi="ar-SA" w:eastAsia="zh-CN"/>
    </w:rPr>
  </w:style>
  <w:style w:type="paragraph" w:styleId="Heading1">
    <w:name w:val="heading 1"/>
    <w:basedOn w:val="Nadpis"/>
    <w:next w:val="BodyText"/>
    <w:qFormat/>
    <w:pPr>
      <w:numPr>
        <w:ilvl w:val="0"/>
        <w:numId w:val="1"/>
      </w:numPr>
      <w:outlineLvl w:val="0"/>
    </w:pPr>
    <w:rPr>
      <w:b/>
      <w:bCs/>
      <w:sz w:val="32"/>
      <w:szCs w:val="32"/>
    </w:rPr>
  </w:style>
  <w:style w:type="paragraph" w:styleId="Heading2">
    <w:name w:val="heading 2"/>
    <w:basedOn w:val="Nadpis"/>
    <w:next w:val="BodyText"/>
    <w:qFormat/>
    <w:pPr>
      <w:numPr>
        <w:ilvl w:val="1"/>
        <w:numId w:val="1"/>
      </w:numPr>
      <w:outlineLvl w:val="1"/>
    </w:pPr>
    <w:rPr>
      <w:b/>
      <w:bCs/>
      <w:i/>
      <w:iCs/>
      <w:sz w:val="28"/>
      <w:szCs w:val="28"/>
    </w:rPr>
  </w:style>
  <w:style w:type="paragraph" w:styleId="Heading3">
    <w:name w:val="heading 3"/>
    <w:basedOn w:val="Nadpis"/>
    <w:next w:val="BodyText"/>
    <w:qFormat/>
    <w:pPr>
      <w:numPr>
        <w:ilvl w:val="2"/>
        <w:numId w:val="1"/>
      </w:numPr>
      <w:outlineLvl w:val="2"/>
    </w:pPr>
    <w:rPr>
      <w:b/>
      <w:bCs/>
      <w:sz w:val="28"/>
      <w:szCs w:val="28"/>
    </w:rPr>
  </w:style>
  <w:style w:type="paragraph" w:styleId="Heading4">
    <w:name w:val="heading 4"/>
    <w:basedOn w:val="Normal"/>
    <w:next w:val="Normal"/>
    <w:qFormat/>
    <w:pPr>
      <w:keepNext w:val="true"/>
      <w:pBdr>
        <w:bottom w:val="single" w:sz="2" w:space="2" w:color="000000"/>
      </w:pBdr>
      <w:jc w:val="start"/>
      <w:outlineLvl w:val="3"/>
    </w:pPr>
    <w:rPr>
      <w:rFonts w:ascii="Arial" w:hAnsi="Arial" w:cs="Arial"/>
      <w:b/>
      <w:bCs/>
      <w:sz w:val="36"/>
      <w:szCs w:val="3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b/>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Times New Roman" w:hAnsi="Times New Roman" w:cs="Times New Roman"/>
    </w:rPr>
  </w:style>
  <w:style w:type="character" w:styleId="Standardnpsmoodstavce">
    <w:name w:val="Standardní písmo odstavce"/>
    <w:qFormat/>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Absatz-Standardschriftart1">
    <w:name w:val="Absatz-Standardschriftart1"/>
    <w:qFormat/>
    <w:rPr/>
  </w:style>
  <w:style w:type="character" w:styleId="Symbolyproslovn">
    <w:name w:val="Symboly pro číslování"/>
    <w:qFormat/>
    <w:rPr/>
  </w:style>
  <w:style w:type="character" w:styleId="Odrky">
    <w:name w:val="Odrážky"/>
    <w:qFormat/>
    <w:rPr>
      <w:rFonts w:ascii="StarSymbol;Times New Roman" w:hAnsi="StarSymbol;Times New Roman" w:eastAsia="StarSymbol;Times New Roman" w:cs="StarSymbol;Times New Roman"/>
      <w:sz w:val="18"/>
      <w:szCs w:val="18"/>
    </w:rPr>
  </w:style>
  <w:style w:type="character" w:styleId="Hyperlink">
    <w:name w:val="Hyperlink"/>
    <w:rPr>
      <w:color w:val="000080"/>
      <w:u w:val="single"/>
    </w:rPr>
  </w:style>
  <w:style w:type="character" w:styleId="WW8Num12z0">
    <w:name w:val="WW8Num12z0"/>
    <w:qFormat/>
    <w:rPr>
      <w:rFonts w:ascii="Arial" w:hAnsi="Arial" w:cs="Arial"/>
    </w:rPr>
  </w:style>
  <w:style w:type="character" w:styleId="TextnormyChar1">
    <w:name w:val="Text normy Char1"/>
    <w:basedOn w:val="Standardnpsmoodstavce"/>
    <w:qFormat/>
    <w:rPr>
      <w:rFonts w:ascii="Arial" w:hAnsi="Arial" w:eastAsia="Arial" w:cs="Arial"/>
      <w:kern w:val="2"/>
      <w:lang w:val="cs-CZ" w:bidi="ar-SA"/>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adpis">
    <w:name w:val="Nadpis"/>
    <w:basedOn w:val="Normal"/>
    <w:next w:val="BodyText"/>
    <w:qFormat/>
    <w:pPr>
      <w:keepNext w:val="true"/>
      <w:spacing w:before="240" w:after="120"/>
    </w:pPr>
    <w:rPr>
      <w:rFonts w:ascii="Arial" w:hAnsi="Arial" w:eastAsia="Lucida Sans Unicode" w:cs="Tahoma"/>
      <w:sz w:val="28"/>
      <w:szCs w:val="28"/>
    </w:rPr>
  </w:style>
  <w:style w:type="paragraph" w:styleId="Popisek">
    <w:name w:val="Popisek"/>
    <w:basedOn w:val="Normal"/>
    <w:qFormat/>
    <w:pPr>
      <w:suppressLineNumbers/>
      <w:spacing w:before="120" w:after="120"/>
    </w:pPr>
    <w:rPr>
      <w:rFonts w:cs="Tahoma"/>
      <w:i/>
      <w:iCs/>
      <w:sz w:val="24"/>
      <w:szCs w:val="24"/>
    </w:rPr>
  </w:style>
  <w:style w:type="paragraph" w:styleId="Rejstk">
    <w:name w:val="Rejstřík"/>
    <w:basedOn w:val="Normal"/>
    <w:qFormat/>
    <w:pPr>
      <w:suppressLineNumbers/>
    </w:pPr>
    <w:rPr>
      <w:rFonts w:cs="Tahoma"/>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8" w:leader="none"/>
        <w:tab w:val="right" w:pos="9637" w:leader="none"/>
      </w:tabs>
    </w:pPr>
    <w:rPr/>
  </w:style>
  <w:style w:type="paragraph" w:styleId="Ilustrace">
    <w:name w:val="Ilustrace"/>
    <w:basedOn w:val="Popisek"/>
    <w:qFormat/>
    <w:pPr/>
    <w:rPr/>
  </w:style>
  <w:style w:type="paragraph" w:styleId="Tabulka">
    <w:name w:val="Tabulka"/>
    <w:basedOn w:val="Popisek"/>
    <w:qFormat/>
    <w:pPr/>
    <w:rPr/>
  </w:style>
  <w:style w:type="paragraph" w:styleId="Textnormy">
    <w:name w:val="Text normy"/>
    <w:qFormat/>
    <w:pPr>
      <w:widowControl/>
      <w:suppressAutoHyphens w:val="true"/>
      <w:bidi w:val="0"/>
      <w:spacing w:before="0" w:after="120"/>
      <w:jc w:val="both"/>
    </w:pPr>
    <w:rPr>
      <w:rFonts w:ascii="Arial" w:hAnsi="Arial" w:eastAsia="Arial" w:cs="Arial"/>
      <w:color w:val="auto"/>
      <w:kern w:val="2"/>
      <w:sz w:val="20"/>
      <w:szCs w:val="20"/>
      <w:lang w:val="cs-CZ" w:bidi="ar-SA" w:eastAsia="zh-CN"/>
    </w:rPr>
  </w:style>
  <w:style w:type="paragraph" w:styleId="Shodnost">
    <w:name w:val="Shodnost"/>
    <w:basedOn w:val="Textnormy"/>
    <w:next w:val="Textnormy"/>
    <w:qFormat/>
    <w:pPr>
      <w:keepNext w:val="true"/>
      <w:keepLines/>
      <w:tabs>
        <w:tab w:val="clear" w:pos="709"/>
        <w:tab w:val="right" w:pos="9923" w:leader="none"/>
      </w:tabs>
      <w:spacing w:before="240" w:after="360"/>
      <w:jc w:val="start"/>
    </w:pPr>
    <w:rPr>
      <w:sz w:val="28"/>
    </w:rPr>
  </w:style>
  <w:style w:type="paragraph" w:styleId="esknorma">
    <w:name w:val="Česká norma"/>
    <w:basedOn w:val="Textnormy"/>
    <w:next w:val="1Str1Rad"/>
    <w:qFormat/>
    <w:pPr>
      <w:spacing w:before="0" w:after="0"/>
      <w:jc w:val="start"/>
    </w:pPr>
    <w:rPr>
      <w:sz w:val="28"/>
    </w:rPr>
  </w:style>
  <w:style w:type="paragraph" w:styleId="1Str1Rad">
    <w:name w:val="1Str1Rad"/>
    <w:basedOn w:val="Textnormy"/>
    <w:qFormat/>
    <w:pPr>
      <w:widowControl w:val="false"/>
      <w:tabs>
        <w:tab w:val="clear" w:pos="709"/>
        <w:tab w:val="left" w:pos="7371" w:leader="none"/>
        <w:tab w:val="right" w:pos="9866" w:leader="none"/>
      </w:tabs>
    </w:pPr>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1StrCN">
    <w:name w:val="1StrCN"/>
    <w:basedOn w:val="Textnormy"/>
    <w:next w:val="1StrTrZn"/>
    <w:qFormat/>
    <w:pPr>
      <w:spacing w:lineRule="exact" w:line="340" w:before="180" w:after="0"/>
      <w:jc w:val="start"/>
    </w:pPr>
    <w:rPr>
      <w:b/>
      <w:sz w:val="32"/>
      <w:lang w:val="zxx"/>
    </w:rPr>
  </w:style>
  <w:style w:type="paragraph" w:styleId="1StrTrZn">
    <w:name w:val="1StrTrZn"/>
    <w:basedOn w:val="Textnormy"/>
    <w:qFormat/>
    <w:pPr>
      <w:spacing w:lineRule="exact" w:line="340" w:before="80" w:after="80"/>
      <w:jc w:val="start"/>
    </w:pPr>
    <w:rPr>
      <w:sz w:val="28"/>
    </w:rPr>
  </w:style>
  <w:style w:type="paragraph" w:styleId="Seznamvnorm">
    <w:name w:val="Seznam v normě"/>
    <w:basedOn w:val="Textnormy"/>
    <w:qFormat/>
    <w:pPr>
      <w:ind w:hanging="0" w:start="0" w:end="0"/>
    </w:pPr>
    <w:rPr/>
  </w:style>
  <w:style w:type="paragraph" w:styleId="Texttabulky">
    <w:name w:val="Text tabulky"/>
    <w:basedOn w:val="Textnormy"/>
    <w:qFormat/>
    <w:pPr>
      <w:suppressAutoHyphens w:val="true"/>
      <w:spacing w:before="60" w:after="60"/>
      <w:jc w:val="start"/>
    </w:pPr>
    <w:rPr>
      <w:sz w:val="18"/>
    </w:rPr>
  </w:style>
  <w:style w:type="paragraph" w:styleId="Obsahtabulky">
    <w:name w:val="Obsah tabulky"/>
    <w:basedOn w:val="Normal"/>
    <w:qFormat/>
    <w:pPr>
      <w:suppressLineNumbers/>
    </w:pPr>
    <w:rPr/>
  </w:style>
  <w:style w:type="paragraph" w:styleId="Obsahrmce">
    <w:name w:val="Obsah rámce"/>
    <w:basedOn w:val="BodyText"/>
    <w:qFormat/>
    <w:pPr/>
    <w:rPr/>
  </w:style>
  <w:style w:type="paragraph" w:styleId="Nadpistabulky">
    <w:name w:val="Nadpis tabulky"/>
    <w:basedOn w:val="Obsahtabulky"/>
    <w:qFormat/>
    <w:pPr>
      <w:suppressLineNumbers/>
      <w:jc w:val="center"/>
    </w:pPr>
    <w:rPr>
      <w:b/>
      <w:bCs/>
    </w:rPr>
  </w:style>
  <w:style w:type="paragraph" w:styleId="Header">
    <w:name w:val="header"/>
    <w:basedOn w:val="Normal"/>
    <w:pPr>
      <w:tabs>
        <w:tab w:val="clear" w:pos="709"/>
        <w:tab w:val="center" w:pos="4536" w:leader="none"/>
        <w:tab w:val="right" w:pos="9072" w:leader="none"/>
      </w:tabs>
    </w:pPr>
    <w:rPr/>
  </w:style>
  <w:style w:type="paragraph" w:styleId="Textbubliny">
    <w:name w:val="Text bubliny"/>
    <w:basedOn w:val="Normal"/>
    <w:qFormat/>
    <w:pPr/>
    <w:rPr>
      <w:rFonts w:ascii="Tahoma" w:hAnsi="Tahoma" w:cs="Tahoma"/>
      <w:sz w:val="16"/>
      <w:szCs w:val="16"/>
    </w:rPr>
  </w:style>
  <w:style w:type="paragraph" w:styleId="Odstavec">
    <w:name w:val="Odstavec"/>
    <w:basedOn w:val="Normal"/>
    <w:qFormat/>
    <w:pPr>
      <w:widowControl/>
      <w:suppressAutoHyphens w:val="false"/>
      <w:spacing w:before="120" w:after="0"/>
      <w:ind w:firstLine="284" w:start="0" w:end="0"/>
    </w:pPr>
    <w:rPr>
      <w:rFonts w:ascii="Arial" w:hAnsi="Arial" w:eastAsia="Times New Roman" w:cs="Arial"/>
      <w:kern w:val="0"/>
      <w:sz w:val="20"/>
      <w:szCs w:val="20"/>
    </w:rPr>
  </w:style>
  <w:style w:type="paragraph" w:styleId="odr-">
    <w:name w:val="odr -"/>
    <w:basedOn w:val="Normal"/>
    <w:qFormat/>
    <w:pPr>
      <w:widowControl/>
      <w:numPr>
        <w:ilvl w:val="0"/>
        <w:numId w:val="5"/>
      </w:numPr>
      <w:suppressAutoHyphens w:val="false"/>
      <w:spacing w:before="120" w:after="0"/>
    </w:pPr>
    <w:rPr>
      <w:rFonts w:ascii="Arial" w:hAnsi="Arial" w:eastAsia="Times New Roman" w:cs="Arial"/>
      <w:kern w:val="0"/>
      <w:sz w:val="20"/>
      <w:szCs w:val="20"/>
    </w:rPr>
  </w:style>
  <w:style w:type="paragraph" w:styleId="Normlnweb">
    <w:name w:val="Normální (web)"/>
    <w:basedOn w:val="Normal"/>
    <w:qFormat/>
    <w:pPr>
      <w:widowControl/>
      <w:suppressAutoHyphens w:val="false"/>
      <w:spacing w:before="100" w:after="100"/>
      <w:jc w:val="start"/>
    </w:pPr>
    <w:rPr>
      <w:rFonts w:eastAsia="Times New Roman"/>
      <w:kern w:val="0"/>
    </w:rPr>
  </w:style>
  <w:style w:type="paragraph" w:styleId="Textkomente">
    <w:name w:val="Text komentáře"/>
    <w:basedOn w:val="Normal"/>
    <w:qFormat/>
    <w:pPr/>
    <w:rPr>
      <w:sz w:val="20"/>
      <w:szCs w:val="20"/>
    </w:rPr>
  </w:style>
  <w:style w:type="paragraph" w:styleId="Pedmtkomente">
    <w:name w:val="Předmět komentáře"/>
    <w:basedOn w:val="Textkomente"/>
    <w:next w:val="Textkomente"/>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79</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2009-10-28T17:42:00Z</dcterms:created>
  <dc:creator>Jiří  Štefan</dc:creator>
  <dc:description/>
  <cp:keywords>Silmos Normy</cp:keywords>
  <dc:language>en-US</dc:language>
  <cp:lastModifiedBy>barta</cp:lastModifiedBy>
  <cp:lastPrinted>2008-08-20T14:00:00Z</cp:lastPrinted>
  <dcterms:modified xsi:type="dcterms:W3CDTF">2009-11-07T11:46:00Z</dcterms:modified>
  <cp:revision>11</cp:revision>
  <dc:subject/>
  <dc:title>Extrakt normy</dc:title>
</cp:coreProperties>
</file>