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numPr>
          <w:ilvl w:val="0"/>
          <w:numId w:val="0"/>
        </w:numPr>
        <w:outlineLvl w:val="0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numPr>
          <w:ilvl w:val="0"/>
          <w:numId w:val="0"/>
        </w:numPr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Zprávy TTI předávané kódováním dopravních zpráv – Část 2: Kódy událostí pro Rádiový datový systém – Kanál dopravních zpráv (RDS-TMC)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 EN ISO 14819-2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01 8253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 7. 2004</w:t>
        <w:tab/>
        <w:tab/>
        <w:t>176 stran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Předmluva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Dopravní a cestovní informace mohou být šířeny pomocí více prostředků a služeb (pomocí statických terminálů, přenosných terminálů, vybavení vozidla). Pro interoperabilitu  je potřeba definovat předávaná data včetně formátů jejich předávání tak, aby byla umožněna spolupráce s více poskytovateli dopravních dat i při použití rozdílných technických prostředků.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ČSN EN ISO 14819 má několik částí, a to část 1 - obsahující všeobecný popis, tato část 2 - definující kódování obsahu zprávy a část 3, která se zabývá kódováním polohy vozidla</w:t>
      </w:r>
      <w:r>
        <w:rPr>
          <w:rFonts w:eastAsia="Times New Roman"/>
          <w:color w:val="FF0000"/>
          <w:kern w:val="0"/>
          <w:lang w:eastAsia="cs-CZ"/>
        </w:rPr>
        <w:t>.</w:t>
      </w:r>
      <w:r>
        <w:rPr>
          <w:rFonts w:eastAsia="Times New Roman"/>
          <w:kern w:val="0"/>
          <w:lang w:eastAsia="cs-CZ"/>
        </w:rPr>
        <w:t xml:space="preserve"> Část 6 se zaobírá metodou, jak lze část informací uvolnit pouze pro skupinu platících či jinak oprávněných uživatelů.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Podmíněným přístupem k datům se zabývá i část 4 (protokol Alert +), ale část 6 ho vyřešila mnohem sofistikovaněji. To, že se placený přístup v současné době nepoužívá, je spíše obchodní otázka. Část 5 popisuje lokalizační tabulky pro protokol Alert +. </w:t>
      </w:r>
      <w:r>
        <w:rPr>
          <w:rFonts w:eastAsia="Times New Roman"/>
          <w:spacing w:val="-2"/>
          <w:kern w:val="0"/>
          <w:lang w:eastAsia="cs-CZ"/>
        </w:rPr>
        <w:t>Okolo částí 4 a 5 se v současné době nevyvíjí žádná aktivita, proto nebylo u těchto částí změněno označení a jsou stále značeny jako ENV 12313-4 a ENV 12313-5.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Úvod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Tento druh předávání dopravních a cestovních informací je založen na využití datového kanálu RDS, který je přenášen v rozhlasovém VKV. Tento datový kanál s nízkou datovou kapacitou a jednosměrným přenosem se využívá pro přenášení datových zpráv, které (před zavedením techniky RDS –TMC) byly využívány pro zobrazování názvu stanice na displeji radiopřijímače či k automatickému přelaďování autorádií, pokud se radiopřijímač příliš vzdálil od základnové stanice (v pásmu VKV je tato hranice, v závislosti na terénu a vyzářeném výkonu, kolem 35 km (při výkonu 500W) a je přitom v dosahu jiné základnové stanice stejného programu, která pochopitelně vysílá na rozdílném kmitočtu.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RDS je rádiová technika, která umožňuje přenášet datovou komunikaci v postranním pásmu rádiového vysílání na frekvencích FM, což je v České republice pásmo od 87 MHz do 108 MHz s použitím kmitočtové modulace. Informace přenášené technikou RDS jsou vysílány po skupinách, z nichž jedna, označená 8A, je rezervována pro dopravní informace, které přijímač prezentuje řidiči požadovaným způsobem (hlasově, textově, graficky na displeji navigačního přístroje).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Datové komunikace, využívající tohoto druhu přenosu, tj. přidružení datového přenosu k hlasovému kanálu, nemají obvykle vysokou datovou propustnost. Výjimkou není ani nejnovější spojovací síť známá pod názvem Matra. Výhodou je ta skutečnost, že tyto datové služby se přidruží k již existujícím a zavedeným technickým prostředkům, což velmi sníží cenu na jejich zavedení do praxe.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Právě nízká přenosová rychlost, která je ještě snížena potřebou několikrát zprávu opakovat pro zajištění vysoké pravděpodobnosti úspěšného přenosu, si vyžádala použití kódování. Zde je i složitě popisovaná událost vyjádřena krátkým číselným kódem, jehož přenesení nezpůsobí kapacitní problémy. Zpětné dekódování události probíhá inverzně ze shodné kódovací tabulky, uložené v paměti přístroje.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Výhodou této koncepce je i možnost národní lokalizace těchto kódovacích tabulek. V České republice jsou tyto tabulky lokalizovány.   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Tato technická specifikace se zabývá pouze aplikační vrstvou datové komunikace, ne technickými podrobnostmi přenosu.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Užití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 xml:space="preserve">Tato kapitola definuje „seznam událostí“, které jsou možné v rámci RDS – TMC při použití ALERT C. Pro porozumění problematice je vzhledem k úzkým souvislostem nutná i první část, tj. ČSN EN ISO 14819-1. Pro kódované popisy se používá „CEN-English“, který by měl být na základě dohody jediným a výhradním zdrojem pro popisy používané v RDS-TMC. Tato metodika umožňuje dosažení dohody o důležitých detailech pro několik stovek frází událostí, které tak byly zapracovány, i když byly patrné drobné lingvistické rozdíly, které je třeba respektovat z hlediska jazykových odlišností koncových uživatelů. 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Souvisící normy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>
          <w:rFonts w:eastAsia="Times New Roman"/>
          <w:kern w:val="0"/>
          <w:lang w:eastAsia="cs-CZ"/>
        </w:rPr>
        <w:t>Tato část souvisí s následujícími dokumenty:</w:t>
      </w:r>
    </w:p>
    <w:p>
      <w:pPr>
        <w:pStyle w:val="Normal"/>
        <w:widowControl/>
        <w:numPr>
          <w:ilvl w:val="0"/>
          <w:numId w:val="2"/>
        </w:numPr>
        <w:suppressAutoHyphens w:val="false"/>
        <w:autoSpaceDE w:val="false"/>
        <w:spacing w:before="0" w:after="0"/>
        <w:jc w:val="star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ISO 14819-1 Dopravní a cestovní informace (TTI), TTI vzkazy pomocí Digitálního přenosu dopravních dat – Část 1: Kódovací protokol pro kanál RDS – TMC s použitím ALERT-C</w:t>
      </w:r>
    </w:p>
    <w:p>
      <w:pPr>
        <w:pStyle w:val="Normal"/>
        <w:widowControl/>
        <w:numPr>
          <w:ilvl w:val="0"/>
          <w:numId w:val="2"/>
        </w:numPr>
        <w:suppressAutoHyphens w:val="false"/>
        <w:autoSpaceDE w:val="false"/>
        <w:spacing w:before="0" w:after="0"/>
        <w:jc w:val="star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50067: 1998 Specifikace systému RDS pro VHF/FM zvukové vysílání v rozsahu od 87,5 MHz do 108,0 MHz</w:t>
      </w:r>
    </w:p>
    <w:p>
      <w:pPr>
        <w:pStyle w:val="Normal"/>
        <w:widowControl/>
        <w:numPr>
          <w:ilvl w:val="0"/>
          <w:numId w:val="2"/>
        </w:numPr>
        <w:suppressAutoHyphens w:val="false"/>
        <w:autoSpaceDE w:val="false"/>
        <w:spacing w:before="0" w:after="0"/>
        <w:jc w:val="star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EN ISO 13106: 1998 Slovník dopravních a cestovních dat DATEX (verze 3.1 a)</w:t>
      </w:r>
    </w:p>
    <w:p>
      <w:pPr>
        <w:pStyle w:val="Normal"/>
        <w:widowControl/>
        <w:suppressAutoHyphens w:val="false"/>
        <w:autoSpaceDE w:val="false"/>
        <w:spacing w:before="0" w:after="0"/>
        <w:ind w:start="360" w:end="0"/>
        <w:jc w:val="star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</w:r>
    </w:p>
    <w:p>
      <w:pPr>
        <w:pStyle w:val="Textnormy"/>
        <w:suppressAutoHyphens w:val="false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3 Kódy událostí a informací, určené pro vysílání TMC – kanál pro přenos dopravních informací</w:t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3.1 Seznam událostí</w:t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3.1.1 Vysvětlivky k seznamu událostí</w:t>
      </w:r>
    </w:p>
    <w:p>
      <w:pPr>
        <w:pStyle w:val="Textnormy"/>
        <w:suppressAutoHyphens w:val="false"/>
        <w:rPr>
          <w:rFonts w:eastAsia="Times New Roman"/>
          <w:kern w:val="0"/>
          <w:lang w:eastAsia="cs-CZ"/>
        </w:rPr>
      </w:pPr>
      <w:r>
        <w:rPr/>
        <w:t>Jak bylo podotknuto, hlavním obsahem této části jsou tabulky událostí. Ty mají následující strukturu:</w:t>
      </w:r>
    </w:p>
    <w:tbl>
      <w:tblPr>
        <w:tblW w:w="977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7"/>
        <w:gridCol w:w="977"/>
        <w:gridCol w:w="977"/>
        <w:gridCol w:w="978"/>
        <w:gridCol w:w="978"/>
        <w:gridCol w:w="978"/>
        <w:gridCol w:w="978"/>
        <w:gridCol w:w="978"/>
        <w:gridCol w:w="978"/>
        <w:gridCol w:w="978"/>
      </w:tblGrid>
      <w:tr>
        <w:trPr/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Line</w:t>
            </w:r>
          </w:p>
        </w:tc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 xml:space="preserve">Text </w:t>
            </w:r>
          </w:p>
        </w:tc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Code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N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Q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T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D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U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C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Arial" w:hAnsi="Arial" w:eastAsia="Times New Roman" w:cs="Arial"/>
                <w:kern w:val="0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eastAsia="cs-CZ"/>
              </w:rPr>
              <w:t>R</w:t>
            </w:r>
          </w:p>
        </w:tc>
      </w:tr>
    </w:tbl>
    <w:p>
      <w:pPr>
        <w:pStyle w:val="BodyText"/>
        <w:rPr>
          <w:lang w:bidi="zxx"/>
        </w:rPr>
      </w:pPr>
      <w:r>
        <w:rPr>
          <w:lang w:bidi="zxx"/>
        </w:rPr>
      </w:r>
    </w:p>
    <w:tbl>
      <w:tblPr>
        <w:tblW w:w="97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8573"/>
      </w:tblGrid>
      <w:tr>
        <w:trPr>
          <w:tblHeader w:val="true"/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jc w:val="center"/>
              <w:rPr>
                <w:b/>
                <w:kern w:val="0"/>
              </w:rPr>
            </w:pPr>
            <w:r>
              <w:rPr>
                <w:b/>
                <w:kern w:val="0"/>
              </w:rPr>
              <w:t>Položka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jc w:val="center"/>
              <w:rPr>
                <w:b/>
                <w:kern w:val="0"/>
              </w:rPr>
            </w:pPr>
            <w:r>
              <w:rPr>
                <w:b/>
                <w:kern w:val="0"/>
              </w:rPr>
              <w:t>Popis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Line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Číslo řádku pro snadnější orientaci v databázi.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Text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Popis události v „CEN English“. Za přesné popisy v jiných jazycích jsou odpovědné příslušné úřady v dané zemi. Popisy musí odpovídat definicím uvedeným v datovém slovníku DATEX Data Dictionary.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Code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Desítkový ekvivalent binárního kódu pro danou událost.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N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Charakteristika události. Obecně platí :</w:t>
            </w:r>
          </w:p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(   ) – (prázdný) – informace, F – předpověď. S – tichá zpráva (není určena přímo koncovému uživateli).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Q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Volitelný kvantifikátor, obsahuje kódy kvantifikátorů uvedených v tabulce kvantifikátorů.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T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Doba trvání události. Obecně platí</w:t>
            </w:r>
          </w:p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D – dynamické události s krátkou dobou trvání, L – události přetrvávající delší dobu (část 2.2.4 v popisu ČSN EN ISO 14819-1). Jestliže je kód uveden v závorce nebo je ve zprávě použit kvantifikátor aktuálního času, pak to znamená, že událost má trvalou platnost a doba trvání se nezobrazuje uživateli.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D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 xml:space="preserve">Směrovost události v silničním provozu. </w:t>
            </w:r>
          </w:p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Hodnota 1 značí jeden směr provozu, hodnota 2 značí oba směry provozu ovlivněné normální událostí. Na základě této hodnoty mohou dekodéry TMC stanovit, o kterých událostech budou informovat řidiče a jakým způsoben tyto zprávy předají.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U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Urgence zprávy: U – příjem tísňových zpráv, X – velmi naléhavá zpráva, (…) normální urgence.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C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spacing w:val="-2"/>
                <w:kern w:val="0"/>
                <w:szCs w:val="18"/>
              </w:rPr>
            </w:pPr>
            <w:r>
              <w:rPr>
                <w:spacing w:val="-2"/>
                <w:kern w:val="0"/>
                <w:szCs w:val="18"/>
              </w:rPr>
              <w:t>Číselné označení pro to, kam konkrétní událost významově patří. Standardně je rozpoznáváno 31 úrovní.</w:t>
            </w:r>
          </w:p>
        </w:tc>
      </w:tr>
      <w:tr>
        <w:trPr>
          <w:cantSplit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R</w:t>
            </w:r>
          </w:p>
        </w:tc>
        <w:tc>
          <w:tcPr>
            <w:tcW w:w="8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>
                <w:kern w:val="0"/>
              </w:rPr>
            </w:pPr>
            <w:r>
              <w:rPr>
                <w:kern w:val="0"/>
              </w:rPr>
              <w:t>Kódy frází (odkazy) pro standardní použití operátory služeb TMC. Událost může zahrnovat popis události v jedné frázi nebo kombinaci dvou i více frází.</w:t>
            </w:r>
          </w:p>
        </w:tc>
      </w:tr>
    </w:tbl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3.1.2 Seznam kvantifikátorů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Fyzikální jednotky zobrazovaných událostí (stupně Celsia, metry, tuny, milimetry, fyzikální jednotky kmitočtu – kHz, MHz) nebo formát zobrazovaných čísel (procenta, „malé číslo“) jsou opět tabulkově kódovány pomocí tzv. kvantifikátorů.</w:t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3.1.3 Tabulka událostí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Tato tabulka je jádrem této části normy a je sestavena dle výše uvedených zásad.</w:t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  <w:t>3.2.2 Tabulka doplňkových informací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Tyto doplňkové informace slouží k upřesnění místa či povahy popisované události.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 w:cs="Arial"/>
          <w:b/>
          <w:kern w:val="0"/>
          <w:sz w:val="22"/>
          <w:szCs w:val="22"/>
          <w:lang w:eastAsia="cs-CZ"/>
        </w:rPr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Příloha A (informativní) Tabulka kvantifikátorů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 xml:space="preserve">Obsahuje kódy přiřazení konkrétních vzdáleností (v mílích), rychlosti (v mílích za hod), procentuálního vyjádření i časových jednotek (tím rozvíjí seznam 3.1.2.). 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Příloha B (informativní) Tabulka událostí</w:t>
      </w:r>
    </w:p>
    <w:p>
      <w:pPr>
        <w:pStyle w:val="BodyText"/>
        <w:numPr>
          <w:ilvl w:val="0"/>
          <w:numId w:val="0"/>
        </w:numPr>
        <w:outlineLvl w:val="0"/>
        <w:rPr>
          <w:rFonts w:ascii="Arial" w:hAnsi="Arial" w:eastAsia="Times New Roman" w:cs="Arial"/>
          <w:b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Liší se od tabulky událostí 3.1.3. ve třetím a čtvrtém sloupci. Zde jsou použity popisy v jazykové verzi platné pro toto vydáni normy a je zde možno použít i jednotné a množné číslo.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b/>
          <w:kern w:val="0"/>
          <w:sz w:val="20"/>
          <w:szCs w:val="20"/>
          <w:lang w:eastAsia="cs-CZ"/>
        </w:rPr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Příloha C (informativní) Tabulka doplňkových informací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Seznam doplňkových informací má podobný formát jako tabulka 3.2.2. Ve třetím a čtvrtém sloupci jsou použity popisy v jazykové verzi platné pro toto vydáni normy a je zde možno použít i jednotné a množné číslo.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  <w:t>Příloha D (informativní)</w:t>
      </w:r>
    </w:p>
    <w:p>
      <w:pPr>
        <w:pStyle w:val="BodyText"/>
        <w:rPr>
          <w:rFonts w:ascii="Arial" w:hAnsi="Arial" w:eastAsia="Times New Roman" w:cs="Arial"/>
          <w:kern w:val="0"/>
          <w:sz w:val="20"/>
          <w:szCs w:val="20"/>
          <w:lang w:eastAsia="cs-CZ"/>
        </w:rPr>
      </w:pPr>
      <w:r>
        <w:rPr>
          <w:rFonts w:eastAsia="Times New Roman" w:cs="Arial" w:ascii="Arial" w:hAnsi="Arial"/>
          <w:kern w:val="0"/>
          <w:sz w:val="20"/>
          <w:szCs w:val="20"/>
          <w:lang w:eastAsia="cs-CZ"/>
        </w:rPr>
        <w:t>Seznam doplňkových informací má podobný formát jako tabulka 3.2.2. Ve třetím a čtvrtém sloupci jsou použity popisy v jazykové verzi platné pro toto vydáni normy a je zde možno použít i jednotné a množné číslo.</w:t>
      </w:r>
    </w:p>
    <w:p>
      <w:pPr>
        <w:pStyle w:val="Textnormy"/>
        <w:numPr>
          <w:ilvl w:val="0"/>
          <w:numId w:val="0"/>
        </w:numPr>
        <w:suppressAutoHyphens w:val="false"/>
        <w:outlineLvl w:val="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 w:cs="Arial"/>
          <w:b/>
          <w:kern w:val="0"/>
          <w:sz w:val="22"/>
          <w:szCs w:val="22"/>
          <w:lang w:eastAsia="cs-CZ"/>
        </w:rPr>
      </w:r>
    </w:p>
    <w:p>
      <w:pPr>
        <w:pStyle w:val="Textnormy"/>
        <w:suppressAutoHyphens w:val="false"/>
        <w:spacing w:before="0" w:after="120"/>
        <w:rPr>
          <w:rFonts w:eastAsia="Times New Roman"/>
          <w:b/>
          <w:kern w:val="0"/>
          <w:sz w:val="22"/>
          <w:szCs w:val="22"/>
          <w:lang w:eastAsia="cs-CZ"/>
        </w:rPr>
      </w:pPr>
      <w:r>
        <w:rPr>
          <w:rFonts w:eastAsia="Times New Roman"/>
          <w:b/>
          <w:kern w:val="0"/>
          <w:sz w:val="22"/>
          <w:szCs w:val="22"/>
          <w:lang w:eastAsia="cs-CZ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13" w:after="113"/>
      <w:jc w:val="cen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page">
                <wp:posOffset>3658235</wp:posOffset>
              </wp:positionH>
              <wp:positionV relativeFrom="paragraph">
                <wp:align>bottom</wp:align>
              </wp:positionV>
              <wp:extent cx="71120" cy="2178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2178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113" w:after="113"/>
                            <w:rPr>
                              <w:rStyle w:val="PageNumber"/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7.15pt;mso-wrap-distance-left:0pt;mso-wrap-distance-right:0pt;mso-wrap-distance-top:0pt;mso-wrap-distance-bottom:0pt;margin-top:7.95pt;mso-position-vertical:bottom;mso-position-vertical-relative:text;margin-left:288.0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spacing w:before="113" w:after="113"/>
                      <w:rPr>
                        <w:rStyle w:val="PageNumber"/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t>3</w:t>
                    </w:r>
                    <w:r>
                      <w:rPr>
                        <w:rStyle w:val="PageNumber"/>
                        <w:rFonts w:cs="Arial" w:ascii="Arial" w:hAnsi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3192"/>
        </w:tabs>
        <w:ind w:start="319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113" w:after="113"/>
      <w:jc w:val="both"/>
    </w:pPr>
    <w:rPr>
      <w:rFonts w:ascii="Times New Roman" w:hAnsi="Times New Roman" w:eastAsia="Lucida Sans Unicode" w:cs="Times New Roman"/>
      <w:color w:val="auto"/>
      <w:kern w:val="2"/>
      <w:sz w:val="24"/>
      <w:szCs w:val="24"/>
      <w:lang w:val="cs-CZ" w:bidi="ar-SA" w:eastAsia="zh-C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adpis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adpis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pBdr>
        <w:bottom w:val="single" w:sz="2" w:space="2" w:color="000000"/>
      </w:pBdr>
      <w:jc w:val="start"/>
      <w:outlineLvl w:val="3"/>
    </w:pPr>
    <w:rPr>
      <w:rFonts w:ascii="Arial" w:hAnsi="Arial" w:cs="Arial"/>
      <w:b/>
      <w:bCs/>
      <w:sz w:val="36"/>
      <w:szCs w:val="3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Standardnpsmoodstavce">
    <w:name w:val="Standardní písmo odstavce"/>
    <w:qFormat/>
    <w:rPr/>
  </w:style>
  <w:style w:type="character" w:styleId="WW8Num5z1">
    <w:name w:val="WW8Num5z1"/>
    <w:qFormat/>
    <w:rPr>
      <w:rFonts w:ascii="Wingdings 2" w:hAnsi="Wingdings 2" w:cs="StarSymbol;Times New Roman"/>
      <w:sz w:val="18"/>
      <w:szCs w:val="18"/>
    </w:rPr>
  </w:style>
  <w:style w:type="character" w:styleId="WW8Num5z2">
    <w:name w:val="WW8Num5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Absatz-Standardschriftart">
    <w:name w:val="Absatz-Standardschriftart"/>
    <w:qFormat/>
    <w:rPr/>
  </w:style>
  <w:style w:type="character" w:styleId="Symbolyproslovn">
    <w:name w:val="Symboly pro číslování"/>
    <w:qFormat/>
    <w:rPr/>
  </w:style>
  <w:style w:type="character" w:styleId="Odrky">
    <w:name w:val="Odrážky"/>
    <w:qFormat/>
    <w:rPr>
      <w:rFonts w:ascii="StarSymbol;Times New Roman" w:hAnsi="StarSymbol;Times New Roman" w:eastAsia="StarSymbol;Times New Roman" w:cs="StarSymbol;Times New Roman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WW8Num12z0">
    <w:name w:val="WW8Num12z0"/>
    <w:qFormat/>
    <w:rPr>
      <w:rFonts w:ascii="Arial" w:hAnsi="Arial" w:cs="Arial"/>
    </w:rPr>
  </w:style>
  <w:style w:type="character" w:styleId="TextnormyChar1">
    <w:name w:val="Text normy Char1"/>
    <w:basedOn w:val="Standardnpsmoodstavce"/>
    <w:qFormat/>
    <w:rPr>
      <w:rFonts w:ascii="Arial" w:hAnsi="Arial" w:eastAsia="Arial" w:cs="Arial"/>
      <w:kern w:val="2"/>
      <w:lang w:val="cs-CZ" w:bidi="ar-SA"/>
    </w:rPr>
  </w:style>
  <w:style w:type="character" w:styleId="PageNumber">
    <w:name w:val="page number"/>
    <w:basedOn w:val="Standardnpsmoodstavce"/>
    <w:rPr/>
  </w:style>
  <w:style w:type="character" w:styleId="CharChar2">
    <w:name w:val=" Char Char2"/>
    <w:basedOn w:val="Standardnpsmoodstavce"/>
    <w:qFormat/>
    <w:rPr>
      <w:rFonts w:ascii="Tahoma" w:hAnsi="Tahoma" w:eastAsia="Lucida Sans Unicode" w:cs="Tahoma"/>
      <w:kern w:val="2"/>
      <w:sz w:val="16"/>
      <w:szCs w:val="16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CharChar1">
    <w:name w:val=" Char Char1"/>
    <w:basedOn w:val="Standardnpsmoodstavce"/>
    <w:qFormat/>
    <w:rPr>
      <w:rFonts w:eastAsia="Lucida Sans Unicode"/>
      <w:kern w:val="2"/>
    </w:rPr>
  </w:style>
  <w:style w:type="character" w:styleId="CharChar">
    <w:name w:val=" Char Char"/>
    <w:basedOn w:val="CharChar1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pisek">
    <w:name w:val="Popisek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8" w:leader="none"/>
        <w:tab w:val="right" w:pos="9637" w:leader="none"/>
      </w:tabs>
    </w:pPr>
    <w:rPr/>
  </w:style>
  <w:style w:type="paragraph" w:styleId="Ilustrace">
    <w:name w:val="Ilustrace"/>
    <w:basedOn w:val="Popisek"/>
    <w:qFormat/>
    <w:pPr/>
    <w:rPr/>
  </w:style>
  <w:style w:type="paragraph" w:styleId="Tabulka">
    <w:name w:val="Tabulka"/>
    <w:basedOn w:val="Popisek"/>
    <w:qFormat/>
    <w:pPr/>
    <w:rPr/>
  </w:style>
  <w:style w:type="paragraph" w:styleId="Textnormy">
    <w:name w:val="Text normy"/>
    <w:qFormat/>
    <w:pPr>
      <w:widowControl/>
      <w:suppressAutoHyphens w:val="true"/>
      <w:bidi w:val="0"/>
      <w:spacing w:before="0" w:after="120"/>
      <w:jc w:val="both"/>
    </w:pPr>
    <w:rPr>
      <w:rFonts w:ascii="Arial" w:hAnsi="Arial" w:eastAsia="Arial" w:cs="Arial"/>
      <w:color w:val="auto"/>
      <w:kern w:val="2"/>
      <w:sz w:val="20"/>
      <w:szCs w:val="20"/>
      <w:lang w:val="cs-CZ" w:bidi="ar-SA" w:eastAsia="zh-CN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9"/>
        <w:tab w:val="right" w:pos="9923" w:leader="none"/>
      </w:tabs>
      <w:spacing w:before="240" w:after="360"/>
      <w:jc w:val="start"/>
    </w:pPr>
    <w:rPr>
      <w:sz w:val="28"/>
    </w:rPr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9"/>
        <w:tab w:val="left" w:pos="7371" w:leader="none"/>
        <w:tab w:val="right" w:pos="9866" w:leader="none"/>
      </w:tabs>
    </w:pPr>
    <w:rPr/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zxx"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Seznamvnorm">
    <w:name w:val="Seznam v normě"/>
    <w:basedOn w:val="Textnormy"/>
    <w:qFormat/>
    <w:pPr>
      <w:ind w:hanging="0" w:start="0" w:end="0"/>
    </w:pPr>
    <w:rPr/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sz w:val="18"/>
    </w:rPr>
  </w:style>
  <w:style w:type="paragraph" w:styleId="Obsahtabulky">
    <w:name w:val="Obsah tabulky"/>
    <w:basedOn w:val="Normal"/>
    <w:qFormat/>
    <w:pPr>
      <w:suppressLineNumbers/>
    </w:pPr>
    <w:rPr/>
  </w:style>
  <w:style w:type="paragraph" w:styleId="Obsahrmce">
    <w:name w:val="Obsah rámce"/>
    <w:basedOn w:val="BodyText"/>
    <w:qFormat/>
    <w:pPr/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Odstavec">
    <w:name w:val="Odstavec"/>
    <w:basedOn w:val="Normal"/>
    <w:qFormat/>
    <w:pPr>
      <w:widowControl/>
      <w:suppressAutoHyphens w:val="false"/>
      <w:spacing w:before="120" w:after="0"/>
      <w:ind w:firstLine="284" w:start="0" w:end="0"/>
    </w:pPr>
    <w:rPr>
      <w:rFonts w:ascii="Arial" w:hAnsi="Arial" w:eastAsia="Times New Roman" w:cs="Arial"/>
      <w:kern w:val="0"/>
      <w:sz w:val="20"/>
      <w:szCs w:val="20"/>
    </w:rPr>
  </w:style>
  <w:style w:type="paragraph" w:styleId="odr-">
    <w:name w:val="odr -"/>
    <w:basedOn w:val="Normal"/>
    <w:qFormat/>
    <w:pPr>
      <w:widowControl/>
      <w:numPr>
        <w:ilvl w:val="0"/>
        <w:numId w:val="3"/>
      </w:numPr>
      <w:suppressAutoHyphens w:val="false"/>
      <w:spacing w:before="120" w:after="0"/>
    </w:pPr>
    <w:rPr>
      <w:rFonts w:ascii="Arial" w:hAnsi="Arial" w:eastAsia="Times New Roman" w:cs="Arial"/>
      <w:kern w:val="0"/>
      <w:sz w:val="20"/>
      <w:szCs w:val="20"/>
    </w:rPr>
  </w:style>
  <w:style w:type="paragraph" w:styleId="Normlnweb">
    <w:name w:val="Normální (web)"/>
    <w:basedOn w:val="Normal"/>
    <w:qFormat/>
    <w:pPr>
      <w:widowControl/>
      <w:suppressAutoHyphens w:val="false"/>
      <w:spacing w:before="100" w:after="100"/>
      <w:jc w:val="start"/>
    </w:pPr>
    <w:rPr>
      <w:rFonts w:eastAsia="Times New Roman"/>
      <w:kern w:val="0"/>
    </w:rPr>
  </w:style>
  <w:style w:type="paragraph" w:styleId="Rozvrendokumentu">
    <w:name w:val="Rozvržení dokumentu"/>
    <w:basedOn w:val="Normal"/>
    <w:qFormat/>
    <w:pPr/>
    <w:rPr>
      <w:rFonts w:ascii="Tahoma" w:hAnsi="Tahoma" w:cs="Tahoma"/>
      <w:sz w:val="16"/>
      <w:szCs w:val="16"/>
    </w:rPr>
  </w:style>
  <w:style w:type="paragraph" w:styleId="Textkomente">
    <w:name w:val="Text komentáře"/>
    <w:basedOn w:val="Normal"/>
    <w:qFormat/>
    <w:pPr/>
    <w:rPr>
      <w:sz w:val="20"/>
      <w:szCs w:val="20"/>
    </w:rPr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2009-10-28T19:21:00Z</dcterms:created>
  <dc:creator>Jiří  Štefan</dc:creator>
  <dc:description/>
  <cp:keywords>Silmos Normy</cp:keywords>
  <dc:language>en-US</dc:language>
  <cp:lastModifiedBy>barta</cp:lastModifiedBy>
  <cp:lastPrinted>2008-08-20T14:00:00Z</cp:lastPrinted>
  <dcterms:modified xsi:type="dcterms:W3CDTF">2009-11-07T11:43:00Z</dcterms:modified>
  <cp:revision>5</cp:revision>
  <dc:subject/>
  <dc:title>Extrakt normy</dc:title>
</cp:coreProperties>
</file>