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35.240.60</w:t>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Zprávy TTI předávané kódováním dopravních zpráv – Část 3: Odkazy na polohu ALERT-C</w:t>
            </w:r>
          </w:p>
        </w:tc>
        <w:tc>
          <w:tcPr>
            <w:tcW w:w="2552" w:type="dxa"/>
            <w:tcBorders>
              <w:top w:val="single" w:sz="12" w:space="0" w:color="000000"/>
              <w:bottom w:val="single" w:sz="12" w:space="0" w:color="000000"/>
            </w:tcBorders>
          </w:tcPr>
          <w:p>
            <w:pPr>
              <w:pStyle w:val="1StrCN"/>
              <w:spacing w:before="180" w:after="0"/>
              <w:rPr>
                <w:b w:val="false"/>
                <w:sz w:val="28"/>
              </w:rPr>
            </w:pPr>
            <w:r>
              <w:rPr/>
              <w:t>ČSN EN ISO 14819-3</w:t>
              <w:br/>
            </w:r>
          </w:p>
          <w:p>
            <w:pPr>
              <w:pStyle w:val="1StrTrZn"/>
              <w:spacing w:before="80" w:after="80"/>
              <w:rPr/>
            </w:pPr>
            <w:r>
              <w:rPr/>
              <w:t>01 8253</w:t>
            </w:r>
          </w:p>
        </w:tc>
      </w:tr>
    </w:tbl>
    <w:p>
      <w:pPr>
        <w:pStyle w:val="Shodnost"/>
        <w:tabs>
          <w:tab w:val="left" w:pos="7920" w:leader="none"/>
        </w:tabs>
        <w:rPr/>
      </w:pPr>
      <w:r>
        <w:rPr/>
        <w:t>Platí od 1. 8. 2004</w:t>
        <w:tab/>
        <w:t>38 stran</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Předmluva</w:t>
      </w:r>
    </w:p>
    <w:p>
      <w:pPr>
        <w:pStyle w:val="Textnormy"/>
        <w:suppressAutoHyphens w:val="false"/>
        <w:rPr>
          <w:rFonts w:eastAsia="Times New Roman"/>
          <w:kern w:val="0"/>
          <w:lang w:eastAsia="cs-CZ"/>
        </w:rPr>
      </w:pPr>
      <w:r>
        <w:rPr>
          <w:rFonts w:eastAsia="Times New Roman"/>
          <w:kern w:val="0"/>
          <w:lang w:eastAsia="cs-CZ"/>
        </w:rPr>
        <w:t>Dopravní a cestovní informace mohou být šířeny pomocí více prostředků a služeb (pomocí statických terminálů, přenosných terminálů, vybavení vozidla). Pro interoperabilitu  je potřeba definovat předávaná data včetně formátů jejich předávání tak, aby byla umožněna spolupráce s více poskytovateli dopravních dat i při použití rozdílných technických prostředků.</w:t>
      </w:r>
    </w:p>
    <w:p>
      <w:pPr>
        <w:pStyle w:val="Textnormy"/>
        <w:suppressAutoHyphens w:val="false"/>
        <w:rPr>
          <w:rFonts w:eastAsia="Times New Roman"/>
          <w:kern w:val="0"/>
          <w:lang w:eastAsia="cs-CZ"/>
        </w:rPr>
      </w:pPr>
      <w:r>
        <w:rPr>
          <w:rFonts w:eastAsia="Times New Roman"/>
          <w:kern w:val="0"/>
          <w:lang w:eastAsia="cs-CZ"/>
        </w:rPr>
        <w:t xml:space="preserve">ČSN CEN ISO TS 14819 má několik částí, a to část 1 obsahující všeobecný popis, část 2 definující kódování  obsahu zprávy a tato část 3, která řeší kódování polohy vozidla, předmětné události nebo směru komunikace. Část 6 se zaobírá metodou, jak lze část informací uvolnit pouze pro skupinu platících či jinak oprávněných uživatelů. </w:t>
      </w:r>
    </w:p>
    <w:p>
      <w:pPr>
        <w:pStyle w:val="Textnormy"/>
        <w:suppressAutoHyphens w:val="false"/>
        <w:rPr>
          <w:rFonts w:eastAsia="Times New Roman"/>
          <w:kern w:val="0"/>
          <w:lang w:eastAsia="cs-CZ"/>
        </w:rPr>
      </w:pPr>
      <w:r>
        <w:rPr>
          <w:rFonts w:eastAsia="Times New Roman"/>
          <w:spacing w:val="-2"/>
          <w:kern w:val="0"/>
          <w:lang w:eastAsia="cs-CZ"/>
        </w:rPr>
        <w:t>Podmíněným přístupem k datům se zabývá i část 4 (protokol Alert +), ale část 6 ho vyřešila mnohem sofistikovaněji. To, že se placený přístup v současné době nepoužívá, je spíše obchodní otázka. Část 5 popisuje lokalizační tabulky pro protokol Alert +. Okolo částí 4 a 5 se v současné době nevyvíjí žádná aktivita, proto nebylo u těchto částí změněno označení a jsou stále značeny jako ENV 12313-4 a ENV</w:t>
      </w:r>
      <w:r>
        <w:rPr>
          <w:rFonts w:eastAsia="Times New Roman"/>
          <w:kern w:val="0"/>
          <w:lang w:eastAsia="cs-CZ"/>
        </w:rPr>
        <w:t xml:space="preserve"> 12313-5.</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Úvod</w:t>
      </w:r>
    </w:p>
    <w:p>
      <w:pPr>
        <w:pStyle w:val="Odstavec"/>
        <w:spacing w:before="120" w:after="60"/>
        <w:ind w:hanging="0" w:end="0"/>
        <w:rPr/>
      </w:pPr>
      <w:r>
        <w:rPr/>
        <w:t xml:space="preserve">Tento druh předávání dopravních a cestovních informací je založen na využití datového kanálu RDS, který je přenášen v rozhlasovém VKV. Tento datový kanál s nízkou datovou kapacitou a jednosměrným přenosem se využívá pro přenášení datových zpráv, které (před zavedením techniky RDS –TMC) byly využívány pro zobrazování názvu stanice na displeji radiopřijímače či k automatickému přelaďování autorádií, pokud se radiopřijímač příliš vzdálil od základnové stanice (v pásmu VKV je tato hranice, v závislosti na terénu a vyzářeném výkonu, kolem 35 km (pří výkonu 500W)) a je přitom v dosahu jiné základnové stanice stejného programu, která pochopitelně vysílá na rozdílném kmitočtu. </w:t>
      </w:r>
    </w:p>
    <w:p>
      <w:pPr>
        <w:pStyle w:val="Normlnweb"/>
        <w:jc w:val="both"/>
        <w:rPr>
          <w:rFonts w:ascii="Arial" w:hAnsi="Arial" w:cs="Arial"/>
          <w:sz w:val="20"/>
          <w:szCs w:val="20"/>
        </w:rPr>
      </w:pPr>
      <w:r>
        <w:rPr>
          <w:rFonts w:cs="Arial" w:ascii="Arial" w:hAnsi="Arial"/>
          <w:sz w:val="20"/>
          <w:szCs w:val="20"/>
        </w:rPr>
        <w:t>RDS je rádiová technika, která umožňuje realizovat datové přenosy v postranním pásmu rádiového vysílání na frekvencích FM, což je v České republice pásmo od 87MHz do 108 MHz s použitím kmitočtové modulace. Informace přenášené technikou RDS jsou vysílány po skupinách, z nichž jedna, označená 8A,</w:t>
      </w:r>
      <w:r>
        <w:rPr/>
        <w:t xml:space="preserve"> </w:t>
      </w:r>
      <w:r>
        <w:rPr>
          <w:rFonts w:cs="Arial" w:ascii="Arial" w:hAnsi="Arial"/>
          <w:sz w:val="20"/>
          <w:szCs w:val="20"/>
        </w:rPr>
        <w:t>je rezervována pro dopravní informace, které přijímač prezentuje řidiči požadovaným způsobem (hlasově, textově, graficky na displeji navigačního přístroje).</w:t>
      </w:r>
    </w:p>
    <w:p>
      <w:pPr>
        <w:pStyle w:val="Normlnweb"/>
        <w:jc w:val="both"/>
        <w:rPr>
          <w:rFonts w:ascii="Arial" w:hAnsi="Arial" w:cs="Arial"/>
          <w:sz w:val="20"/>
          <w:szCs w:val="20"/>
        </w:rPr>
      </w:pPr>
      <w:r>
        <w:rPr>
          <w:rFonts w:cs="Arial" w:ascii="Arial" w:hAnsi="Arial"/>
          <w:sz w:val="20"/>
          <w:szCs w:val="20"/>
        </w:rPr>
        <w:t>Datové komunikace, využívající tohoto druhu přenosu, tj. přidružení datového přenosu k hlasovému kanálu, nemají obvyklé vysokou datovou propustnost. Výjimkou není ani nejnovější spojovací síť známá pod názvem Matra. Výhodou je ta skutečnost, že tyto datové služby se přidruží k již existujícím a zavedeným technickým prostředkům, což velmi sníží cenu na jejich zavedení do praxe.</w:t>
      </w:r>
    </w:p>
    <w:p>
      <w:pPr>
        <w:pStyle w:val="Normlnweb"/>
        <w:jc w:val="both"/>
        <w:rPr>
          <w:rFonts w:ascii="Arial" w:hAnsi="Arial" w:cs="Arial"/>
          <w:sz w:val="20"/>
          <w:szCs w:val="20"/>
        </w:rPr>
      </w:pPr>
      <w:r>
        <w:rPr>
          <w:rFonts w:cs="Arial" w:ascii="Arial" w:hAnsi="Arial"/>
          <w:sz w:val="20"/>
          <w:szCs w:val="20"/>
        </w:rPr>
        <w:t xml:space="preserve">Právě nízká přenosová rychlost, která je ještě snížena potřebou několikrát zprávu opakovat pro zajištění vysoké pravděpodobnosti úspěšného přenosu, si vyžádala použití kódování. Zde je i složitě popisovaná událost vyjádřena krátkým číselným kódem, jehož přenesení nezpůsobí kapacitní problémy. Zpětné dekódování události probíhá inverzně ze shodné kódovací tabulky, uložené v paměti přístroje. </w:t>
      </w:r>
    </w:p>
    <w:p>
      <w:pPr>
        <w:pStyle w:val="Textnormy"/>
        <w:suppressAutoHyphens w:val="false"/>
        <w:rPr/>
      </w:pPr>
      <w:r>
        <w:rPr/>
        <w:t>Tato technická specifikace se zabývá pouze aplikační vrstvou datové komunikace, ne technickými podrobnostmi přenosu.</w:t>
      </w:r>
    </w:p>
    <w:p>
      <w:pPr>
        <w:pStyle w:val="Textnormy"/>
        <w:suppressAutoHyphens w:val="false"/>
        <w:rPr>
          <w:rFonts w:eastAsia="Times New Roman"/>
          <w:kern w:val="0"/>
          <w:lang w:eastAsia="cs-CZ"/>
        </w:rPr>
      </w:pPr>
      <w:r>
        <w:rPr>
          <w:rFonts w:eastAsia="Times New Roman"/>
          <w:kern w:val="0"/>
          <w:lang w:eastAsia="cs-CZ"/>
        </w:rPr>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Užití</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Pro zadávání místa (lokality) je bezpodmínečně nutné vytvořit zmiňované lokalizační tabulky (databázi). Pokud se na některém místě dopravní sítě stane nehoda či jiná dopravní událost, vyhledá nejdříve operátor systému RDS-TMC v lokalizační databázi dvě takové položky, které vymezují rozsah události. Datovým kanálem RDS se vysílá prostřednictvím RDS-TMC pouze jedna pozice (počáteční místo dopravní události) a počet kroků, který je nutno učinit od tohoto místa k jejímu konci (např. na konec kolony).</w:t>
      </w:r>
    </w:p>
    <w:p>
      <w:pPr>
        <w:pStyle w:val="Textnormy"/>
        <w:suppressAutoHyphens w:val="false"/>
        <w:rPr>
          <w:rFonts w:eastAsia="Times New Roman"/>
          <w:kern w:val="0"/>
          <w:lang w:eastAsia="cs-CZ"/>
        </w:rPr>
      </w:pPr>
      <w:r>
        <w:rPr>
          <w:rFonts w:eastAsia="Times New Roman"/>
          <w:kern w:val="0"/>
          <w:lang w:eastAsia="cs-CZ"/>
        </w:rPr>
        <w:t>Dne 6. února 2009 byly organizací TISA (Traveller Information Services Association) schváleny a certifikovány lokalizační tabulky České republiky verze 3.0. Jedná se o aktualizovanou verzi lokalizačních tabulek verze 2.41, došlo k zpřesnění a rozšíření lokalizovaných úseků. Distribuci dat i souvisejícího Katalogu událostí (ČSN EN ISO 14819-2) zajišťuje stejně jako v předchozích letech společnost CEDA. Lokalizační tabulky CEDA vytvořila v souladu s normou EN ISO 14819-3:2001. Pokryty jsou dálnice, silnice 1. a 2. třídy, spojovací komunikace 3. třídy a vybraná uliční síť v krajských městech. Kódování atributových dat je dostupné ve formátu WIN1250 nebo ASCII. Implementace této verze lokalizačních tabulek do datového skladu národního Jednotného systému dopravních informací (NDIC na SSUD23 Ostrava) je plánována na druhé čtvrtletí 2009.</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Souvisící normy</w:t>
      </w:r>
    </w:p>
    <w:p>
      <w:pPr>
        <w:pStyle w:val="Textnormy"/>
        <w:suppressAutoHyphens w:val="false"/>
        <w:rPr>
          <w:rFonts w:eastAsia="Times New Roman"/>
          <w:kern w:val="0"/>
          <w:lang w:eastAsia="cs-CZ"/>
        </w:rPr>
      </w:pPr>
      <w:r>
        <w:rPr>
          <w:rFonts w:eastAsia="Times New Roman"/>
          <w:kern w:val="0"/>
          <w:lang w:eastAsia="cs-CZ"/>
        </w:rPr>
        <w:t>V této kapitole jsou uvedena odvolání na následující normy:</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EN ISO 14819-1 Dopravní a cestovní informace (TTI), TTI vzkazy pomocí digitálního přenosu dopravních dat – Část 1: Kódovací protokol pro kanál RDS – TMC s použitím ALERT-C</w:t>
      </w:r>
    </w:p>
    <w:p>
      <w:pPr>
        <w:pStyle w:val="BodyText"/>
        <w:numPr>
          <w:ilvl w:val="0"/>
          <w:numId w:val="2"/>
        </w:numPr>
        <w:ind w:hanging="240" w:start="480" w:end="0"/>
        <w:rPr>
          <w:rFonts w:ascii="Arial" w:hAnsi="Arial" w:eastAsia="Times New Roman" w:cs="Arial"/>
          <w:spacing w:val="-2"/>
          <w:kern w:val="0"/>
          <w:sz w:val="20"/>
          <w:szCs w:val="20"/>
          <w:lang w:eastAsia="cs-CZ"/>
        </w:rPr>
      </w:pPr>
      <w:r>
        <w:rPr>
          <w:rFonts w:eastAsia="Times New Roman" w:cs="Arial" w:ascii="Arial" w:hAnsi="Arial"/>
          <w:spacing w:val="-2"/>
          <w:kern w:val="0"/>
          <w:sz w:val="20"/>
          <w:szCs w:val="20"/>
          <w:lang w:eastAsia="cs-CZ"/>
        </w:rPr>
        <w:t>EN 50067 Specifikace systému RDS pro VHF/FM zvukové vysílání v rozsahu od 87,5 MHz do 108,0 MHz</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EN ISO 14825 Soubory geografických dat (GDF)</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3. Zkratky</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V této části jsou použity následující zkratky: DATEX, ECC, EDIFACT, GDF, RDS, TIC, TMC, TTI a WGS 84.</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4. Lokalizace polohy</w:t>
      </w:r>
    </w:p>
    <w:p>
      <w:pPr>
        <w:pStyle w:val="Textnormy"/>
        <w:suppressAutoHyphens w:val="false"/>
        <w:rPr>
          <w:rFonts w:eastAsia="Times New Roman"/>
          <w:b/>
          <w:kern w:val="0"/>
          <w:lang w:eastAsia="cs-CZ"/>
        </w:rPr>
      </w:pPr>
      <w:r>
        <w:rPr>
          <w:rFonts w:eastAsia="Times New Roman"/>
          <w:b/>
          <w:kern w:val="0"/>
          <w:lang w:eastAsia="cs-CZ"/>
        </w:rPr>
        <w:t>4.1 Tabulky umístění</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V kapitole jsou uvedeny tabulky lokací, které mají hierarchickou strukturu.</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 xml:space="preserve">Rozlišuje světadíl, poté stát, kraj (oblast), město, apod. </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 xml:space="preserve">K tomu se určuje typ lokality: plocha, linie, bod. </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Dále se určuje směr silnice, kód země a umístění, rozšířený lokační kód.</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r>
    </w:p>
    <w:p>
      <w:pPr>
        <w:pStyle w:val="Textnormy"/>
        <w:suppressAutoHyphens w:val="false"/>
        <w:rPr>
          <w:rFonts w:eastAsia="Times New Roman"/>
          <w:b/>
          <w:kern w:val="0"/>
          <w:lang w:eastAsia="cs-CZ"/>
        </w:rPr>
      </w:pPr>
      <w:r>
        <w:rPr>
          <w:rFonts w:eastAsia="Times New Roman"/>
          <w:b/>
          <w:kern w:val="0"/>
          <w:lang w:eastAsia="cs-CZ"/>
        </w:rPr>
        <w:t>4.2 Kategorie lokace TMC, typy a subtypy</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Podrobná definice lokací se nachází v dodatku A této části.</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Každá lokace je popsána kódem, který obsahuje:</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charakter lokace (A, L, P – kategorie: a) oblast, b) lineární komunikace, c) bod),</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číslo označující typ lokace,</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tečka,</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číslo označující subtyp.</w:t>
      </w:r>
    </w:p>
    <w:p>
      <w:pPr>
        <w:pStyle w:val="Textnormy"/>
        <w:suppressAutoHyphens w:val="false"/>
        <w:rPr>
          <w:rFonts w:eastAsia="Times New Roman"/>
          <w:b/>
          <w:kern w:val="0"/>
          <w:lang w:eastAsia="cs-CZ"/>
        </w:rPr>
      </w:pPr>
      <w:r>
        <w:rPr>
          <w:rFonts w:eastAsia="Times New Roman" w:cs="Arial"/>
          <w:b/>
          <w:kern w:val="0"/>
          <w:sz w:val="20"/>
          <w:szCs w:val="20"/>
          <w:lang w:eastAsia="cs-CZ"/>
        </w:rPr>
      </w:r>
    </w:p>
    <w:p>
      <w:pPr>
        <w:pStyle w:val="Textnormy"/>
        <w:suppressAutoHyphens w:val="false"/>
        <w:rPr>
          <w:rFonts w:eastAsia="Times New Roman"/>
          <w:b/>
          <w:kern w:val="0"/>
          <w:lang w:eastAsia="cs-CZ"/>
        </w:rPr>
      </w:pPr>
      <w:r>
        <w:rPr>
          <w:rFonts w:eastAsia="Times New Roman"/>
          <w:b/>
          <w:kern w:val="0"/>
          <w:lang w:eastAsia="cs-CZ"/>
        </w:rPr>
        <w:t>4.3 Struktura lokační databáze</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Struktura a definice položek lokalizační databáze je pevně stanovena z důvodů zajištění mezinárodní soudržnosti. Databáze obsahuje řadu položek, které jsou diferencovány podle charakteru lokace (viz 4.2).</w:t>
      </w:r>
    </w:p>
    <w:p>
      <w:pPr>
        <w:pStyle w:val="Textnormy"/>
        <w:suppressAutoHyphens w:val="false"/>
        <w:rPr>
          <w:rFonts w:eastAsia="Times New Roman"/>
          <w:b/>
          <w:kern w:val="0"/>
          <w:lang w:eastAsia="cs-CZ"/>
        </w:rPr>
      </w:pPr>
      <w:r>
        <w:rPr>
          <w:rFonts w:eastAsia="Times New Roman"/>
          <w:b/>
          <w:kern w:val="0"/>
          <w:lang w:eastAsia="cs-CZ"/>
        </w:rPr>
        <w:t>4.4 Podrobnější odkazování na křižovatky</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V rámci této kapitoly se rozlišují běžné křižovatky (není u nich rozlišení jízdních pruhů) a složitější křižovatky (kódování vozovek s rozlišenými jízdními pruhy, s nadjezdy, mosty, objezdy a dalšími stavebními atributy).</w:t>
      </w:r>
    </w:p>
    <w:p>
      <w:pPr>
        <w:pStyle w:val="Textnormy"/>
        <w:suppressAutoHyphens w:val="false"/>
        <w:rPr>
          <w:rFonts w:eastAsia="Times New Roman"/>
          <w:b/>
          <w:kern w:val="0"/>
          <w:lang w:eastAsia="cs-CZ"/>
        </w:rPr>
      </w:pPr>
      <w:r>
        <w:rPr>
          <w:rFonts w:eastAsia="Times New Roman"/>
          <w:b/>
          <w:kern w:val="0"/>
          <w:lang w:eastAsia="cs-CZ"/>
        </w:rPr>
        <w:t>4.5 Lokace podrobnějších situací</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V rámci této kapitoly se rozlišuje běžné odkazování lokace a podrobné odkazování lokace:</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Běžné odkazování lokace je předdefinováno u většiny lokalizačních databází pro křižovatky a významné silniční objekty (mosty, tunely, …).</w:t>
      </w:r>
    </w:p>
    <w:p>
      <w:pPr>
        <w:pStyle w:val="BodyText"/>
        <w:numPr>
          <w:ilvl w:val="0"/>
          <w:numId w:val="2"/>
        </w:numPr>
        <w:ind w:hanging="240" w:start="480" w:end="0"/>
        <w:rPr>
          <w:rFonts w:ascii="Arial" w:hAnsi="Arial" w:eastAsia="Times New Roman" w:cs="Arial"/>
          <w:kern w:val="0"/>
          <w:sz w:val="20"/>
          <w:szCs w:val="20"/>
          <w:lang w:eastAsia="cs-CZ"/>
        </w:rPr>
      </w:pPr>
      <w:r>
        <w:rPr>
          <w:rFonts w:eastAsia="Times New Roman" w:cs="Arial" w:ascii="Arial" w:hAnsi="Arial"/>
          <w:kern w:val="0"/>
          <w:sz w:val="20"/>
          <w:szCs w:val="20"/>
          <w:lang w:eastAsia="cs-CZ"/>
        </w:rPr>
        <w:t>Podrobné odkazování lokace umožňuje definovat mezilehlé body mezi křižovatkami, a to přímo údajem kilometráže Využívá se pro podrobné definování místa nehody, místa stavebních prací apod.</w:t>
      </w:r>
    </w:p>
    <w:p>
      <w:pPr>
        <w:pStyle w:val="Textnormy"/>
        <w:suppressAutoHyphens w:val="false"/>
        <w:rPr>
          <w:rFonts w:eastAsia="Times New Roman"/>
          <w:b/>
          <w:kern w:val="0"/>
          <w:lang w:eastAsia="cs-CZ"/>
        </w:rPr>
      </w:pPr>
      <w:r>
        <w:rPr>
          <w:rFonts w:eastAsia="Times New Roman"/>
          <w:b/>
          <w:kern w:val="0"/>
          <w:lang w:eastAsia="cs-CZ"/>
        </w:rPr>
        <w:t>4.6 Lokace jednosměrné a obousměrné</w:t>
      </w:r>
    </w:p>
    <w:p>
      <w:pPr>
        <w:pStyle w:val="BodyText"/>
        <w:rPr>
          <w:rFonts w:ascii="Arial" w:hAnsi="Arial" w:eastAsia="Times New Roman" w:cs="Arial"/>
          <w:kern w:val="0"/>
          <w:sz w:val="20"/>
          <w:szCs w:val="20"/>
          <w:lang w:eastAsia="cs-CZ"/>
        </w:rPr>
      </w:pPr>
      <w:r>
        <w:rPr>
          <w:rFonts w:eastAsia="Times New Roman" w:cs="Arial" w:ascii="Arial" w:hAnsi="Arial"/>
          <w:kern w:val="0"/>
          <w:sz w:val="20"/>
          <w:szCs w:val="20"/>
          <w:lang w:eastAsia="cs-CZ"/>
        </w:rPr>
        <w:t>V kapitole jsou definovány křižovatky a lokace, které mají jeden výstup nebo vstup a lokace, které se objevují jen na jedné straně. U vozovek se uvažuje většinou s oběma směry provozu, jeden směr, jen když jsou silnice pro jednotlivé směry fyzicky oddělené.</w:t>
      </w:r>
    </w:p>
    <w:p>
      <w:pPr>
        <w:pStyle w:val="Normal"/>
        <w:widowControl/>
        <w:suppressAutoHyphens w:val="false"/>
        <w:autoSpaceDE w:val="false"/>
        <w:spacing w:before="0" w:after="0"/>
        <w:jc w:val="start"/>
        <w:rPr>
          <w:rFonts w:ascii="Arial" w:hAnsi="Arial" w:eastAsia="Times New Roman" w:cs="Arial"/>
          <w:b/>
          <w:kern w:val="0"/>
          <w:sz w:val="20"/>
          <w:szCs w:val="20"/>
          <w:lang w:eastAsia="cs-CZ"/>
        </w:rPr>
      </w:pPr>
      <w:r>
        <w:rPr>
          <w:rFonts w:eastAsia="Times New Roman" w:cs="Arial" w:ascii="Arial" w:hAnsi="Arial"/>
          <w:b/>
          <w:kern w:val="0"/>
          <w:sz w:val="20"/>
          <w:szCs w:val="20"/>
          <w:lang w:eastAsia="cs-CZ"/>
        </w:rPr>
        <w:t xml:space="preserve">Příloha A (normativní) –  Kategorie lokací TMC, typy a subtypy </w:t>
      </w:r>
    </w:p>
    <w:p>
      <w:pPr>
        <w:pStyle w:val="Normal"/>
        <w:widowControl/>
        <w:suppressAutoHyphens w:val="false"/>
        <w:autoSpaceDE w:val="false"/>
        <w:spacing w:before="0" w:after="0"/>
        <w:jc w:val="start"/>
        <w:rPr>
          <w:rFonts w:ascii="Arial" w:hAnsi="Arial" w:eastAsia="Times New Roman" w:cs="Arial"/>
          <w:kern w:val="0"/>
          <w:sz w:val="20"/>
          <w:szCs w:val="20"/>
          <w:lang w:eastAsia="cs-CZ"/>
        </w:rPr>
      </w:pPr>
      <w:r>
        <w:rPr>
          <w:rFonts w:eastAsia="Times New Roman" w:cs="Arial" w:ascii="Arial" w:hAnsi="Arial"/>
          <w:kern w:val="0"/>
          <w:sz w:val="20"/>
          <w:szCs w:val="20"/>
          <w:lang w:eastAsia="cs-CZ"/>
        </w:rPr>
        <w:t>Tato příloha podrobněji vysvětluje heslovité pojmy, používané v lokalizačních tabulkách (co je míněno např. hesly dopravní oblast, akvadukt i rozdíly mezi „motorway intersection“ a „motorway junction“).</w:t>
      </w:r>
    </w:p>
    <w:p>
      <w:pPr>
        <w:pStyle w:val="Normal"/>
        <w:widowControl/>
        <w:suppressAutoHyphens w:val="false"/>
        <w:autoSpaceDE w:val="false"/>
        <w:spacing w:before="0" w:after="0"/>
        <w:jc w:val="start"/>
        <w:rPr>
          <w:rFonts w:ascii="Arial" w:hAnsi="Arial" w:eastAsia="Times New Roman" w:cs="Arial"/>
          <w:kern w:val="0"/>
          <w:sz w:val="20"/>
          <w:szCs w:val="20"/>
          <w:lang w:eastAsia="cs-CZ"/>
        </w:rPr>
      </w:pPr>
      <w:r>
        <w:rPr>
          <w:rFonts w:eastAsia="Times New Roman" w:cs="Arial" w:ascii="Arial" w:hAnsi="Arial"/>
          <w:kern w:val="0"/>
          <w:sz w:val="20"/>
          <w:szCs w:val="20"/>
          <w:lang w:eastAsia="cs-CZ"/>
        </w:rPr>
      </w:r>
    </w:p>
    <w:p>
      <w:pPr>
        <w:pStyle w:val="Normal"/>
        <w:widowControl/>
        <w:suppressAutoHyphens w:val="false"/>
        <w:autoSpaceDE w:val="false"/>
        <w:spacing w:before="0" w:after="0"/>
        <w:jc w:val="start"/>
        <w:rPr>
          <w:rFonts w:ascii="Arial" w:hAnsi="Arial" w:eastAsia="Times New Roman" w:cs="Arial"/>
          <w:b/>
          <w:kern w:val="0"/>
          <w:sz w:val="20"/>
          <w:szCs w:val="20"/>
          <w:lang w:eastAsia="cs-CZ"/>
        </w:rPr>
      </w:pPr>
      <w:r>
        <w:rPr>
          <w:rFonts w:eastAsia="Times New Roman" w:cs="Arial" w:ascii="Arial" w:hAnsi="Arial"/>
          <w:b/>
          <w:kern w:val="0"/>
          <w:sz w:val="20"/>
          <w:szCs w:val="20"/>
          <w:lang w:eastAsia="cs-CZ"/>
        </w:rPr>
        <w:t>Příloha B (normativní) – Tabulka kódů přiřazených jednotlivým zemím</w:t>
      </w:r>
    </w:p>
    <w:p>
      <w:pPr>
        <w:pStyle w:val="Normal"/>
        <w:widowControl/>
        <w:suppressAutoHyphens w:val="false"/>
        <w:autoSpaceDE w:val="false"/>
        <w:spacing w:before="0" w:after="0"/>
        <w:jc w:val="start"/>
        <w:rPr>
          <w:rFonts w:ascii="Arial" w:hAnsi="Arial" w:eastAsia="Times New Roman" w:cs="Arial"/>
          <w:kern w:val="0"/>
          <w:sz w:val="20"/>
          <w:szCs w:val="20"/>
          <w:lang w:eastAsia="cs-CZ"/>
        </w:rPr>
      </w:pPr>
      <w:r>
        <w:rPr>
          <w:rFonts w:eastAsia="Times New Roman" w:cs="Arial" w:ascii="Arial" w:hAnsi="Arial"/>
          <w:kern w:val="0"/>
          <w:sz w:val="20"/>
          <w:szCs w:val="20"/>
          <w:lang w:eastAsia="cs-CZ"/>
        </w:rPr>
        <w:t>Jednostránková tabulka přiřazující zemím od Albánie až po Vatikán kódové vyjádření.</w:t>
      </w:r>
    </w:p>
    <w:p>
      <w:pPr>
        <w:pStyle w:val="Normal"/>
        <w:widowControl/>
        <w:suppressAutoHyphens w:val="false"/>
        <w:autoSpaceDE w:val="false"/>
        <w:spacing w:before="0" w:after="0"/>
        <w:jc w:val="start"/>
        <w:rPr>
          <w:rFonts w:ascii="Arial" w:hAnsi="Arial" w:eastAsia="Times New Roman" w:cs="Arial"/>
          <w:kern w:val="0"/>
          <w:sz w:val="20"/>
          <w:szCs w:val="20"/>
          <w:lang w:eastAsia="cs-CZ"/>
        </w:rPr>
      </w:pPr>
      <w:r>
        <w:rPr>
          <w:rFonts w:eastAsia="Times New Roman" w:cs="Arial" w:ascii="Arial" w:hAnsi="Arial"/>
          <w:kern w:val="0"/>
          <w:sz w:val="20"/>
          <w:szCs w:val="20"/>
          <w:lang w:eastAsia="cs-CZ"/>
        </w:rPr>
      </w:r>
    </w:p>
    <w:p>
      <w:pPr>
        <w:pStyle w:val="Normal"/>
        <w:widowControl/>
        <w:suppressAutoHyphens w:val="false"/>
        <w:autoSpaceDE w:val="false"/>
        <w:spacing w:before="0" w:after="0"/>
        <w:jc w:val="start"/>
        <w:rPr>
          <w:rFonts w:ascii="Arial" w:hAnsi="Arial" w:eastAsia="Times New Roman" w:cs="Arial"/>
          <w:b/>
          <w:kern w:val="0"/>
          <w:sz w:val="20"/>
          <w:szCs w:val="20"/>
          <w:lang w:eastAsia="cs-CZ"/>
        </w:rPr>
      </w:pPr>
      <w:r>
        <w:rPr>
          <w:rFonts w:eastAsia="Times New Roman" w:cs="Arial" w:ascii="Arial" w:hAnsi="Arial"/>
          <w:b/>
          <w:kern w:val="0"/>
          <w:sz w:val="20"/>
          <w:szCs w:val="20"/>
          <w:lang w:eastAsia="cs-CZ"/>
        </w:rPr>
        <w:t>Příloha C (informativní) – Dodatečné informace</w:t>
      </w:r>
    </w:p>
    <w:p>
      <w:pPr>
        <w:pStyle w:val="BodyText"/>
        <w:spacing w:before="0" w:after="120"/>
        <w:rPr>
          <w:rFonts w:ascii="Arial" w:hAnsi="Arial" w:eastAsia="Times New Roman" w:cs="Arial"/>
          <w:kern w:val="0"/>
          <w:sz w:val="20"/>
          <w:szCs w:val="20"/>
          <w:lang w:eastAsia="cs-CZ"/>
        </w:rPr>
      </w:pPr>
      <w:r>
        <w:rPr>
          <w:rFonts w:eastAsia="Times New Roman" w:cs="Arial" w:ascii="Arial" w:hAnsi="Arial"/>
          <w:kern w:val="0"/>
          <w:sz w:val="20"/>
          <w:szCs w:val="20"/>
          <w:lang w:eastAsia="cs-CZ"/>
        </w:rPr>
        <w:t>Tato příloha se zabývá problémy, které se projevily při zavádění systému RDS-TMC do práce. Zmiňuje se o tzv. „Předem definovaných pozicích“ – tj, pozicích či souřadnicích, které definuje stát, zacházení se soubory geografických dat (GDF) a o primární a sekundární pozici události (tak se nazývají mezní body na úseku komunikace, kde probíhá dopravní událost.</w:t>
      </w:r>
    </w:p>
    <w:sectPr>
      <w:footerReference w:type="default" r:id="rId2"/>
      <w:type w:val="nextPage"/>
      <w:pgSz w:w="11906" w:h="16838"/>
      <w:pgMar w:left="1134" w:right="1134" w:gutter="0" w:header="0" w:top="1134" w:footer="1134" w:bottom="180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Liberation Sans">
    <w:altName w:val="Arial"/>
    <w:charset w:val="01" w:characterSet="utf-8"/>
    <w:family w:val="swiss"/>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13" w:after="113"/>
      <w:jc w:val="center"/>
      <w:rPr/>
    </w:pPr>
    <w:r>
      <w:rPr/>
    </w:r>
    <w:r>
      <mc:AlternateContent>
        <mc:Choice Requires="wps">
          <w:drawing>
            <wp:anchor distT="0" distB="0" distL="0" distR="0" simplePos="0" relativeHeight="4" behindDoc="0" locked="0" layoutInCell="0" allowOverlap="1">
              <wp:simplePos x="0" y="0"/>
              <wp:positionH relativeFrom="page">
                <wp:posOffset>3677285</wp:posOffset>
              </wp:positionH>
              <wp:positionV relativeFrom="paragraph">
                <wp:posOffset>-12700</wp:posOffset>
              </wp:positionV>
              <wp:extent cx="71120" cy="217805"/>
              <wp:effectExtent l="0" t="0" r="0" b="0"/>
              <wp:wrapSquare wrapText="bothSides"/>
              <wp:docPr id="1" name="Frame1"/>
              <a:graphic xmlns:a="http://schemas.openxmlformats.org/drawingml/2006/main">
                <a:graphicData uri="http://schemas.microsoft.com/office/word/2010/wordprocessingShape">
                  <wps:wsp>
                    <wps:cNvSpPr txBox="1"/>
                    <wps:spPr>
                      <a:xfrm>
                        <a:off x="0" y="0"/>
                        <a:ext cx="71120" cy="217805"/>
                      </a:xfrm>
                      <a:prstGeom prst="rect"/>
                      <a:solidFill>
                        <a:srgbClr val="FFFFFF">
                          <a:alpha val="0"/>
                        </a:srgbClr>
                      </a:solidFill>
                    </wps:spPr>
                    <wps:txbx>
                      <w:txbxContent>
                        <w:p>
                          <w:pPr>
                            <w:pStyle w:val="Footer"/>
                            <w:spacing w:before="113" w:after="113"/>
                            <w:rPr>
                              <w:rStyle w:val="PageNumber"/>
                              <w:rFonts w:ascii="Arial" w:hAnsi="Arial" w:cs="Arial"/>
                              <w:sz w:val="20"/>
                              <w:szCs w:val="20"/>
                            </w:rPr>
                          </w:pPr>
                          <w:r>
                            <w:rPr>
                              <w:rStyle w:val="PageNumber"/>
                              <w:rFonts w:cs="Arial" w:ascii="Arial" w:hAnsi="Arial"/>
                              <w:sz w:val="20"/>
                              <w:szCs w:val="20"/>
                            </w:rPr>
                            <w:fldChar w:fldCharType="begin"/>
                          </w:r>
                          <w:r>
                            <w:rPr>
                              <w:rStyle w:val="PageNumber"/>
                              <w:rFonts w:cs="Arial" w:ascii="Arial" w:hAnsi="Arial"/>
                              <w:sz w:val="20"/>
                              <w:szCs w:val="20"/>
                            </w:rPr>
                            <w:instrText xml:space="preserve"> PAGE </w:instrText>
                          </w:r>
                          <w:r>
                            <w:rPr>
                              <w:rStyle w:val="PageNumber"/>
                              <w:rFonts w:cs="Arial" w:ascii="Arial" w:hAnsi="Arial"/>
                              <w:sz w:val="20"/>
                              <w:szCs w:val="20"/>
                            </w:rPr>
                            <w:fldChar w:fldCharType="separate"/>
                          </w:r>
                          <w:r>
                            <w:rPr>
                              <w:rStyle w:val="PageNumber"/>
                              <w:rFonts w:cs="Arial" w:ascii="Arial" w:hAnsi="Arial"/>
                              <w:sz w:val="20"/>
                              <w:szCs w:val="20"/>
                            </w:rPr>
                            <w:t>3</w:t>
                          </w:r>
                          <w:r>
                            <w:rPr>
                              <w:rStyle w:val="PageNumber"/>
                              <w:rFonts w:cs="Arial" w:ascii="Arial" w:hAnsi="Arial"/>
                              <w:sz w:val="20"/>
                              <w:szCs w:val="20"/>
                            </w:rPr>
                            <w:fldChar w:fldCharType="end"/>
                          </w:r>
                        </w:p>
                      </w:txbxContent>
                    </wps:txbx>
                    <wps:bodyPr anchor="t" lIns="0" tIns="0" rIns="0" bIns="0">
                      <a:noAutofit/>
                    </wps:bodyPr>
                  </wps:wsp>
                </a:graphicData>
              </a:graphic>
            </wp:anchor>
          </w:drawing>
        </mc:Choice>
        <mc:Fallback>
          <w:pict>
            <v:rect fillcolor="#FFFFFF" style="position:absolute;rotation:-0;width:5.6pt;height:17.15pt;mso-wrap-distance-left:0pt;mso-wrap-distance-right:0pt;mso-wrap-distance-top:0pt;mso-wrap-distance-bottom:0pt;margin-top:-1pt;mso-position-vertical-relative:text;margin-left:289.55pt;mso-position-horizontal-relative:page">
              <v:fill opacity="0f"/>
              <v:textbox inset="0in,0in,0in,0in">
                <w:txbxContent>
                  <w:p>
                    <w:pPr>
                      <w:pStyle w:val="Footer"/>
                      <w:spacing w:before="113" w:after="113"/>
                      <w:rPr>
                        <w:rStyle w:val="PageNumber"/>
                        <w:rFonts w:ascii="Arial" w:hAnsi="Arial" w:cs="Arial"/>
                        <w:sz w:val="20"/>
                        <w:szCs w:val="20"/>
                      </w:rPr>
                    </w:pPr>
                    <w:r>
                      <w:rPr>
                        <w:rStyle w:val="PageNumber"/>
                        <w:rFonts w:cs="Arial" w:ascii="Arial" w:hAnsi="Arial"/>
                        <w:sz w:val="20"/>
                        <w:szCs w:val="20"/>
                      </w:rPr>
                      <w:fldChar w:fldCharType="begin"/>
                    </w:r>
                    <w:r>
                      <w:rPr>
                        <w:rStyle w:val="PageNumber"/>
                        <w:rFonts w:cs="Arial" w:ascii="Arial" w:hAnsi="Arial"/>
                        <w:sz w:val="20"/>
                        <w:szCs w:val="20"/>
                      </w:rPr>
                      <w:instrText xml:space="preserve"> PAGE </w:instrText>
                    </w:r>
                    <w:r>
                      <w:rPr>
                        <w:rStyle w:val="PageNumber"/>
                        <w:rFonts w:cs="Arial" w:ascii="Arial" w:hAnsi="Arial"/>
                        <w:sz w:val="20"/>
                        <w:szCs w:val="20"/>
                      </w:rPr>
                      <w:fldChar w:fldCharType="separate"/>
                    </w:r>
                    <w:r>
                      <w:rPr>
                        <w:rStyle w:val="PageNumber"/>
                        <w:rFonts w:cs="Arial" w:ascii="Arial" w:hAnsi="Arial"/>
                        <w:sz w:val="20"/>
                        <w:szCs w:val="20"/>
                      </w:rPr>
                      <w:t>3</w:t>
                    </w:r>
                    <w:r>
                      <w:rPr>
                        <w:rStyle w:val="PageNumber"/>
                        <w:rFonts w:cs="Arial" w:ascii="Arial" w:hAnsi="Arial"/>
                        <w:sz w:val="20"/>
                        <w:szCs w:val="20"/>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3192"/>
        </w:tabs>
        <w:ind w:start="3192" w:hanging="360"/>
      </w:pPr>
      <w:rPr>
        <w:rFonts w:ascii="Times New Roman" w:hAnsi="Times New Roman" w:cs="Times New Roman"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113" w:after="113"/>
      <w:jc w:val="both"/>
    </w:pPr>
    <w:rPr>
      <w:rFonts w:ascii="Times New Roman" w:hAnsi="Times New Roman" w:eastAsia="Lucida Sans Unicode" w:cs="Times New Roman"/>
      <w:color w:val="auto"/>
      <w:kern w:val="2"/>
      <w:sz w:val="24"/>
      <w:szCs w:val="24"/>
      <w:lang w:val="cs-CZ" w:bidi="ar-SA" w:eastAsia="zh-CN"/>
    </w:rPr>
  </w:style>
  <w:style w:type="paragraph" w:styleId="Heading1">
    <w:name w:val="heading 1"/>
    <w:basedOn w:val="Nadpis"/>
    <w:next w:val="BodyText"/>
    <w:qFormat/>
    <w:pPr>
      <w:numPr>
        <w:ilvl w:val="0"/>
        <w:numId w:val="1"/>
      </w:numPr>
      <w:outlineLvl w:val="0"/>
    </w:pPr>
    <w:rPr>
      <w:b/>
      <w:bCs/>
      <w:sz w:val="32"/>
      <w:szCs w:val="32"/>
    </w:rPr>
  </w:style>
  <w:style w:type="paragraph" w:styleId="Heading2">
    <w:name w:val="heading 2"/>
    <w:basedOn w:val="Nadpis"/>
    <w:next w:val="BodyText"/>
    <w:qFormat/>
    <w:pPr>
      <w:numPr>
        <w:ilvl w:val="1"/>
        <w:numId w:val="1"/>
      </w:numPr>
      <w:outlineLvl w:val="1"/>
    </w:pPr>
    <w:rPr>
      <w:b/>
      <w:bCs/>
      <w:i/>
      <w:iCs/>
      <w:sz w:val="28"/>
      <w:szCs w:val="28"/>
    </w:rPr>
  </w:style>
  <w:style w:type="paragraph" w:styleId="Heading3">
    <w:name w:val="heading 3"/>
    <w:basedOn w:val="Nadpis"/>
    <w:next w:val="BodyText"/>
    <w:qFormat/>
    <w:pPr>
      <w:numPr>
        <w:ilvl w:val="2"/>
        <w:numId w:val="1"/>
      </w:numPr>
      <w:outlineLvl w:val="2"/>
    </w:pPr>
    <w:rPr>
      <w:b/>
      <w:bCs/>
      <w:sz w:val="28"/>
      <w:szCs w:val="28"/>
    </w:rPr>
  </w:style>
  <w:style w:type="paragraph" w:styleId="Heading4">
    <w:name w:val="heading 4"/>
    <w:basedOn w:val="Normal"/>
    <w:next w:val="Normal"/>
    <w:qFormat/>
    <w:pPr>
      <w:keepNext w:val="true"/>
      <w:pBdr>
        <w:bottom w:val="single" w:sz="2" w:space="2" w:color="000000"/>
      </w:pBdr>
      <w:jc w:val="start"/>
      <w:outlineLvl w:val="3"/>
    </w:pPr>
    <w:rPr>
      <w:rFonts w:ascii="Arial" w:hAnsi="Arial" w:cs="Arial"/>
      <w:b/>
      <w:bCs/>
      <w:sz w:val="36"/>
      <w:szCs w:val="36"/>
    </w:rPr>
  </w:style>
  <w:style w:type="character" w:styleId="WW8Num2z0">
    <w:name w:val="WW8Num2z0"/>
    <w:qFormat/>
    <w:rPr>
      <w:rFonts w:ascii="Wingdings" w:hAnsi="Wingdings" w:cs="StarSymbol;Times New Roman"/>
      <w:sz w:val="18"/>
      <w:szCs w:val="18"/>
    </w:rPr>
  </w:style>
  <w:style w:type="character" w:styleId="WW8Num2z1">
    <w:name w:val="WW8Num2z1"/>
    <w:qFormat/>
    <w:rPr>
      <w:rFonts w:ascii="Wingdings 2" w:hAnsi="Wingdings 2" w:cs="StarSymbol;Times New Roman"/>
      <w:sz w:val="18"/>
      <w:szCs w:val="18"/>
    </w:rPr>
  </w:style>
  <w:style w:type="character" w:styleId="WW8Num2z2">
    <w:name w:val="WW8Num2z2"/>
    <w:qFormat/>
    <w:rPr>
      <w:rFonts w:ascii="StarSymbol;Times New Roman" w:hAnsi="StarSymbol;Times New Roman" w:cs="StarSymbol;Times New Roman"/>
      <w:sz w:val="18"/>
      <w:szCs w:val="18"/>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b/>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Standardnpsmoodstavce">
    <w:name w:val="Standardní písmo odstavce"/>
    <w:qFormat/>
    <w:rPr/>
  </w:style>
  <w:style w:type="character" w:styleId="WW8Num5z1">
    <w:name w:val="WW8Num5z1"/>
    <w:qFormat/>
    <w:rPr>
      <w:rFonts w:ascii="Wingdings 2" w:hAnsi="Wingdings 2" w:cs="StarSymbol;Times New Roman"/>
      <w:sz w:val="18"/>
      <w:szCs w:val="18"/>
    </w:rPr>
  </w:style>
  <w:style w:type="character" w:styleId="WW8Num5z2">
    <w:name w:val="WW8Num5z2"/>
    <w:qFormat/>
    <w:rPr>
      <w:rFonts w:ascii="StarSymbol;Times New Roman" w:hAnsi="StarSymbol;Times New Roman" w:cs="StarSymbol;Times New Roman"/>
      <w:sz w:val="18"/>
      <w:szCs w:val="18"/>
    </w:rPr>
  </w:style>
  <w:style w:type="character" w:styleId="Absatz-Standardschriftart1">
    <w:name w:val="Absatz-Standardschriftart1"/>
    <w:qFormat/>
    <w:rPr/>
  </w:style>
  <w:style w:type="character" w:styleId="Symbolyproslovn">
    <w:name w:val="Symboly pro číslování"/>
    <w:qFormat/>
    <w:rPr/>
  </w:style>
  <w:style w:type="character" w:styleId="Odrky">
    <w:name w:val="Odrážky"/>
    <w:qFormat/>
    <w:rPr>
      <w:rFonts w:ascii="StarSymbol;Times New Roman" w:hAnsi="StarSymbol;Times New Roman" w:eastAsia="StarSymbol;Times New Roman" w:cs="StarSymbol;Times New Roman"/>
      <w:sz w:val="18"/>
      <w:szCs w:val="18"/>
    </w:rPr>
  </w:style>
  <w:style w:type="character" w:styleId="Hyperlink">
    <w:name w:val="Hyperlink"/>
    <w:rPr>
      <w:color w:val="000080"/>
      <w:u w:val="single"/>
    </w:rPr>
  </w:style>
  <w:style w:type="character" w:styleId="WW8Num12z0">
    <w:name w:val="WW8Num12z0"/>
    <w:qFormat/>
    <w:rPr>
      <w:rFonts w:ascii="Arial" w:hAnsi="Arial" w:cs="Arial"/>
    </w:rPr>
  </w:style>
  <w:style w:type="character" w:styleId="TextnormyChar1">
    <w:name w:val="Text normy Char1"/>
    <w:basedOn w:val="Standardnpsmoodstavce"/>
    <w:qFormat/>
    <w:rPr>
      <w:rFonts w:ascii="Arial" w:hAnsi="Arial" w:eastAsia="Arial" w:cs="Arial"/>
      <w:kern w:val="2"/>
      <w:lang w:val="cs-CZ" w:bidi="ar-SA"/>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adpis">
    <w:name w:val="Nadpis"/>
    <w:basedOn w:val="Normal"/>
    <w:next w:val="BodyText"/>
    <w:qFormat/>
    <w:pPr>
      <w:keepNext w:val="true"/>
      <w:spacing w:before="240" w:after="120"/>
    </w:pPr>
    <w:rPr>
      <w:rFonts w:ascii="Arial" w:hAnsi="Arial" w:eastAsia="Lucida Sans Unicode" w:cs="Tahoma"/>
      <w:sz w:val="28"/>
      <w:szCs w:val="28"/>
    </w:rPr>
  </w:style>
  <w:style w:type="paragraph" w:styleId="Popisek">
    <w:name w:val="Popisek"/>
    <w:basedOn w:val="Normal"/>
    <w:qFormat/>
    <w:pPr>
      <w:suppressLineNumbers/>
      <w:spacing w:before="120" w:after="120"/>
    </w:pPr>
    <w:rPr>
      <w:rFonts w:cs="Tahoma"/>
      <w:i/>
      <w:iCs/>
      <w:sz w:val="24"/>
      <w:szCs w:val="24"/>
    </w:rPr>
  </w:style>
  <w:style w:type="paragraph" w:styleId="Rejstk">
    <w:name w:val="Rejstřík"/>
    <w:basedOn w:val="Normal"/>
    <w:qFormat/>
    <w:pPr>
      <w:suppressLineNumbers/>
    </w:pPr>
    <w:rPr>
      <w:rFonts w:cs="Tahoma"/>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8" w:leader="none"/>
        <w:tab w:val="right" w:pos="9637" w:leader="none"/>
      </w:tabs>
    </w:pPr>
    <w:rPr/>
  </w:style>
  <w:style w:type="paragraph" w:styleId="Ilustrace">
    <w:name w:val="Ilustrace"/>
    <w:basedOn w:val="Popisek"/>
    <w:qFormat/>
    <w:pPr/>
    <w:rPr/>
  </w:style>
  <w:style w:type="paragraph" w:styleId="Tabulka">
    <w:name w:val="Tabulka"/>
    <w:basedOn w:val="Popisek"/>
    <w:qFormat/>
    <w:pPr/>
    <w:rPr/>
  </w:style>
  <w:style w:type="paragraph" w:styleId="Textnormy">
    <w:name w:val="Text normy"/>
    <w:qFormat/>
    <w:pPr>
      <w:widowControl/>
      <w:suppressAutoHyphens w:val="true"/>
      <w:bidi w:val="0"/>
      <w:spacing w:before="0" w:after="120"/>
      <w:jc w:val="both"/>
    </w:pPr>
    <w:rPr>
      <w:rFonts w:ascii="Arial" w:hAnsi="Arial" w:eastAsia="Arial" w:cs="Arial"/>
      <w:color w:val="auto"/>
      <w:kern w:val="2"/>
      <w:sz w:val="20"/>
      <w:szCs w:val="20"/>
      <w:lang w:val="cs-CZ" w:bidi="ar-SA" w:eastAsia="zh-CN"/>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esknorma">
    <w:name w:val="Česká norma"/>
    <w:basedOn w:val="Textnormy"/>
    <w:next w:val="1Str1Rad"/>
    <w:qFormat/>
    <w:pPr>
      <w:spacing w:before="0" w:after="0"/>
      <w:jc w:val="start"/>
    </w:pPr>
    <w:rPr>
      <w:sz w:val="28"/>
    </w:rPr>
  </w:style>
  <w:style w:type="paragraph" w:styleId="1Str1Rad">
    <w:name w:val="1Str1Rad"/>
    <w:basedOn w:val="Textnormy"/>
    <w:qFormat/>
    <w:pPr>
      <w:widowControl w:val="false"/>
      <w:tabs>
        <w:tab w:val="clear" w:pos="709"/>
        <w:tab w:val="left" w:pos="7371" w:leader="none"/>
        <w:tab w:val="right" w:pos="9866" w:leader="none"/>
      </w:tabs>
    </w:pPr>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CN">
    <w:name w:val="1StrCN"/>
    <w:basedOn w:val="Textnormy"/>
    <w:next w:val="1StrTrZn"/>
    <w:qFormat/>
    <w:pPr>
      <w:spacing w:lineRule="exact" w:line="340" w:before="180" w:after="0"/>
      <w:jc w:val="start"/>
    </w:pPr>
    <w:rPr>
      <w:b/>
      <w:sz w:val="32"/>
      <w:lang w:val="zxx"/>
    </w:rPr>
  </w:style>
  <w:style w:type="paragraph" w:styleId="1StrTrZn">
    <w:name w:val="1StrTrZn"/>
    <w:basedOn w:val="Textnormy"/>
    <w:qFormat/>
    <w:pPr>
      <w:spacing w:lineRule="exact" w:line="340" w:before="80" w:after="80"/>
      <w:jc w:val="start"/>
    </w:pPr>
    <w:rPr>
      <w:sz w:val="28"/>
    </w:rPr>
  </w:style>
  <w:style w:type="paragraph" w:styleId="Seznamvnorm">
    <w:name w:val="Seznam v normě"/>
    <w:basedOn w:val="Textnormy"/>
    <w:qFormat/>
    <w:pPr>
      <w:ind w:hanging="0" w:start="0" w:end="0"/>
    </w:pPr>
    <w:rPr/>
  </w:style>
  <w:style w:type="paragraph" w:styleId="Texttabulky">
    <w:name w:val="Text tabulky"/>
    <w:basedOn w:val="Textnormy"/>
    <w:qFormat/>
    <w:pPr>
      <w:suppressAutoHyphens w:val="true"/>
      <w:spacing w:before="60" w:after="60"/>
      <w:jc w:val="start"/>
    </w:pPr>
    <w:rPr>
      <w:sz w:val="18"/>
    </w:rPr>
  </w:style>
  <w:style w:type="paragraph" w:styleId="Obsahtabulky">
    <w:name w:val="Obsah tabulky"/>
    <w:basedOn w:val="Normal"/>
    <w:qFormat/>
    <w:pPr>
      <w:suppressLineNumbers/>
    </w:pPr>
    <w:rPr/>
  </w:style>
  <w:style w:type="paragraph" w:styleId="Obsahrmce">
    <w:name w:val="Obsah rámce"/>
    <w:basedOn w:val="BodyText"/>
    <w:qFormat/>
    <w:pPr/>
    <w:rPr/>
  </w:style>
  <w:style w:type="paragraph" w:styleId="Nadpistabulky">
    <w:name w:val="Nadpis tabulky"/>
    <w:basedOn w:val="Obsahtabulky"/>
    <w:qFormat/>
    <w:pPr>
      <w:suppressLineNumbers/>
      <w:jc w:val="center"/>
    </w:pPr>
    <w:rPr>
      <w:b/>
      <w:bCs/>
    </w:rPr>
  </w:style>
  <w:style w:type="paragraph" w:styleId="Header">
    <w:name w:val="header"/>
    <w:basedOn w:val="Normal"/>
    <w:pPr>
      <w:tabs>
        <w:tab w:val="clear" w:pos="709"/>
        <w:tab w:val="center" w:pos="4536" w:leader="none"/>
        <w:tab w:val="right" w:pos="9072" w:leader="none"/>
      </w:tabs>
    </w:pPr>
    <w:rPr/>
  </w:style>
  <w:style w:type="paragraph" w:styleId="Textbubliny">
    <w:name w:val="Text bubliny"/>
    <w:basedOn w:val="Normal"/>
    <w:qFormat/>
    <w:pPr/>
    <w:rPr>
      <w:rFonts w:ascii="Tahoma" w:hAnsi="Tahoma" w:cs="Tahoma"/>
      <w:sz w:val="16"/>
      <w:szCs w:val="16"/>
    </w:rPr>
  </w:style>
  <w:style w:type="paragraph" w:styleId="Odstavec">
    <w:name w:val="Odstavec"/>
    <w:basedOn w:val="Normal"/>
    <w:qFormat/>
    <w:pPr>
      <w:widowControl/>
      <w:suppressAutoHyphens w:val="false"/>
      <w:spacing w:before="120" w:after="0"/>
      <w:ind w:firstLine="284" w:start="0" w:end="0"/>
    </w:pPr>
    <w:rPr>
      <w:rFonts w:ascii="Arial" w:hAnsi="Arial" w:eastAsia="Times New Roman" w:cs="Arial"/>
      <w:kern w:val="0"/>
      <w:sz w:val="20"/>
      <w:szCs w:val="20"/>
    </w:rPr>
  </w:style>
  <w:style w:type="paragraph" w:styleId="odr-">
    <w:name w:val="odr -"/>
    <w:basedOn w:val="Normal"/>
    <w:qFormat/>
    <w:pPr>
      <w:widowControl/>
      <w:numPr>
        <w:ilvl w:val="0"/>
        <w:numId w:val="3"/>
      </w:numPr>
      <w:suppressAutoHyphens w:val="false"/>
      <w:spacing w:before="120" w:after="0"/>
    </w:pPr>
    <w:rPr>
      <w:rFonts w:ascii="Arial" w:hAnsi="Arial" w:eastAsia="Times New Roman" w:cs="Arial"/>
      <w:kern w:val="0"/>
      <w:sz w:val="20"/>
      <w:szCs w:val="20"/>
    </w:rPr>
  </w:style>
  <w:style w:type="paragraph" w:styleId="Normlnweb">
    <w:name w:val="Normální (web)"/>
    <w:basedOn w:val="Normal"/>
    <w:qFormat/>
    <w:pPr>
      <w:widowControl/>
      <w:suppressAutoHyphens w:val="false"/>
      <w:spacing w:before="100" w:after="100"/>
      <w:jc w:val="start"/>
    </w:pPr>
    <w:rPr>
      <w:rFonts w:eastAsia="Times New Roman"/>
      <w:kern w:val="0"/>
    </w:rPr>
  </w:style>
  <w:style w:type="paragraph" w:styleId="Textkomente">
    <w:name w:val="Text komentáře"/>
    <w:basedOn w:val="Normal"/>
    <w:qFormat/>
    <w:pPr/>
    <w:rPr>
      <w:sz w:val="20"/>
      <w:szCs w:val="20"/>
    </w:rPr>
  </w:style>
  <w:style w:type="paragraph" w:styleId="Pedmtkomente">
    <w:name w:val="Předmět komentáře"/>
    <w:basedOn w:val="Textkomente"/>
    <w:next w:val="Textkomente"/>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2009-11-07T11:51:00Z</dcterms:created>
  <dc:creator>Jiří  Štefan</dc:creator>
  <dc:description/>
  <cp:keywords>Silmos Normy</cp:keywords>
  <dc:language>en-US</dc:language>
  <cp:lastModifiedBy>barta</cp:lastModifiedBy>
  <cp:lastPrinted>2008-08-20T14:00:00Z</cp:lastPrinted>
  <dcterms:modified xsi:type="dcterms:W3CDTF">2009-11-07T11:52:00Z</dcterms:modified>
  <cp:revision>4</cp:revision>
  <dc:subject/>
  <dc:title>Extrakt normy</dc:title>
</cp:coreProperties>
</file>