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35.240.60</w:t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Zprávy TTI předávané kódováním dopravních zpráv – Část 6: Kódování a vstupní podmínky pro Rádiový datový systém – Kanál dopravních zpráv s využitím ALERT - C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 EN ISO 14819-6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01 8253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>Platí od 1. 12. 2006</w:t>
        <w:tab/>
        <w:t>28 stran</w:t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Předmluva</w:t>
      </w:r>
    </w:p>
    <w:p>
      <w:pPr>
        <w:pStyle w:val="Textnormy"/>
        <w:suppressAutoHyphens w:val="false"/>
        <w:rPr>
          <w:rFonts w:eastAsia="Times New Roman"/>
          <w:kern w:val="0"/>
          <w:lang w:eastAsia="cs-CZ"/>
        </w:rPr>
      </w:pPr>
      <w:r>
        <w:rPr>
          <w:rFonts w:eastAsia="Times New Roman"/>
          <w:kern w:val="0"/>
          <w:lang w:eastAsia="cs-CZ"/>
        </w:rPr>
        <w:t>Dopravní a cestovní informace mohou být šířeny pomocí více prostředků a služeb (pomocí statických terminálů, přenosných terminálů, vybavení vozidla). Pro interoperabilitu  je potřeba definovat předávaná data včetně formátů jejich předávání tak, aby byla umožněna spolupráce s více poskytovateli dopravních dat i při použití rozdílných technických prostředků.</w:t>
      </w:r>
    </w:p>
    <w:p>
      <w:pPr>
        <w:pStyle w:val="Textnormy"/>
        <w:suppressAutoHyphens w:val="false"/>
        <w:rPr>
          <w:rFonts w:eastAsia="Times New Roman"/>
          <w:kern w:val="0"/>
          <w:lang w:eastAsia="cs-CZ"/>
        </w:rPr>
      </w:pPr>
      <w:r>
        <w:rPr>
          <w:rFonts w:eastAsia="Times New Roman"/>
          <w:kern w:val="0"/>
          <w:lang w:eastAsia="cs-CZ"/>
        </w:rPr>
        <w:t xml:space="preserve">ČSN CEN ISO TS 14819 má několik částí, a to část 1 obsahující všeobecný popis, část 2 definující kódování  obsahu zprávy a tato část 3, která řeší kódování polohy vozidla, předmětné události nebo směru komunikace. Část 6 se zaobírá metodou, jak lze část informací uvolnit pouze pro skupinu platících či jinak oprávněných uživatelů. </w:t>
      </w:r>
    </w:p>
    <w:p>
      <w:pPr>
        <w:pStyle w:val="Textnormy"/>
        <w:suppressAutoHyphens w:val="false"/>
        <w:rPr>
          <w:rFonts w:eastAsia="Times New Roman"/>
          <w:kern w:val="0"/>
          <w:lang w:eastAsia="cs-CZ"/>
        </w:rPr>
      </w:pPr>
      <w:r>
        <w:rPr>
          <w:rFonts w:eastAsia="Times New Roman"/>
          <w:spacing w:val="-2"/>
          <w:kern w:val="0"/>
          <w:lang w:eastAsia="cs-CZ"/>
        </w:rPr>
        <w:t>Podmíněným přístupem k datům se zabývá i část 4 (protokol Alert +), ale část 6 ho vyřešila mnohem sofistikovaněji. To, že se placený přístup v současné době nepoužívá, je spíše obchodní otázka. Část 5 popisuje lokalizační tabulky pro protokol Alert +. Okolo částí 4 a 5 se v současné době nevyvíjí žádná aktivita, proto nebylo u těchto částí změněno označení a jsou stále značeny jako ENV 12313-4 a ENV</w:t>
      </w:r>
      <w:r>
        <w:rPr>
          <w:rFonts w:eastAsia="Times New Roman"/>
          <w:kern w:val="0"/>
          <w:lang w:eastAsia="cs-CZ"/>
        </w:rPr>
        <w:t xml:space="preserve"> 12313-5.</w:t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Úvod</w:t>
      </w:r>
    </w:p>
    <w:p>
      <w:pPr>
        <w:pStyle w:val="Textnormy"/>
        <w:suppressAutoHyphens w:val="false"/>
        <w:rPr>
          <w:rFonts w:eastAsia="Times New Roman"/>
          <w:kern w:val="0"/>
          <w:lang w:eastAsia="cs-CZ"/>
        </w:rPr>
      </w:pPr>
      <w:r>
        <w:rPr>
          <w:rFonts w:eastAsia="Times New Roman"/>
          <w:kern w:val="0"/>
          <w:lang w:eastAsia="cs-CZ"/>
        </w:rPr>
        <w:t>Předem stanovená kritéria pro volbu vhodného šifrovacího postupu byla poměrně tvrdá, viz: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>Žádné nebo minimální nároky pro režijní kapacity potřebné k dekódování (i z tohoto důvodu bylo zvoleno 16 bitové šifrování, bezpečnější metody by příliš zvyšovaly požadavky na systém).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>Žádné změny HW nutné pro zavedení této metody.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>Musí být v souladu se stávajícími metodami a postupy.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>Použití obchodních modelů zaměřených na poskytování plnohodnotných služeb po celou dobu používání zařízení – „lifetime“ i časově ohraničených – „term“ musí umožňovat u terminálu aplikaci modelu předplatného (uživatel si předplatí určitou dobu).</w:t>
      </w:r>
    </w:p>
    <w:p>
      <w:pPr>
        <w:pStyle w:val="Textnormy"/>
        <w:suppressAutoHyphens w:val="false"/>
        <w:rPr>
          <w:rFonts w:eastAsia="Times New Roman"/>
          <w:kern w:val="0"/>
          <w:lang w:eastAsia="cs-CZ"/>
        </w:rPr>
      </w:pPr>
      <w:r>
        <w:rPr>
          <w:rFonts w:eastAsia="Times New Roman"/>
          <w:kern w:val="0"/>
          <w:lang w:eastAsia="cs-CZ"/>
        </w:rPr>
        <w:t>Snadná dostupnost pro poskytovatele služeb a výrobce koncových zařízení.</w:t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Užití</w:t>
      </w:r>
    </w:p>
    <w:p>
      <w:pPr>
        <w:pStyle w:val="Textnormy"/>
        <w:suppressAutoHyphens w:val="false"/>
        <w:rPr>
          <w:rFonts w:eastAsia="Times New Roman"/>
          <w:kern w:val="0"/>
          <w:lang w:eastAsia="cs-CZ"/>
        </w:rPr>
      </w:pPr>
      <w:r>
        <w:rPr>
          <w:rFonts w:eastAsia="Times New Roman"/>
          <w:kern w:val="0"/>
          <w:lang w:eastAsia="cs-CZ"/>
        </w:rPr>
        <w:t>Tento materiál ukazuje metodu řešení výše popsané úlohy, tj. zavedení podmíněného přístupu k informacím RDS-TMC při dodržení uvedených kritérií. Šifruje přitom pouze část zprávy – lokalizační údaje – takže informace o funkci RDS-TMC systému je indikována i bez rozšifrování.</w:t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Souvisící normy</w:t>
      </w:r>
    </w:p>
    <w:p>
      <w:pPr>
        <w:pStyle w:val="Textnormy"/>
        <w:suppressAutoHyphens w:val="false"/>
        <w:rPr>
          <w:rFonts w:eastAsia="Times New Roman"/>
          <w:kern w:val="0"/>
          <w:lang w:eastAsia="cs-CZ"/>
        </w:rPr>
      </w:pPr>
      <w:r>
        <w:rPr>
          <w:rFonts w:eastAsia="Times New Roman"/>
          <w:kern w:val="0"/>
          <w:lang w:eastAsia="cs-CZ"/>
        </w:rPr>
        <w:t>V této kapitole jsou uvedena odvolání na následující normy: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>IEC EN 62106:2000 Specifikace systému RDS pro VHF/FM zvukové vysílání v rozsahu od 87,5 MHz do 108,0 MHz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>EN ISO 14819-1 Dopravní a cestovní informace (TTI), TTI vzkazy pomocí digitálního přenosu dopravních dat, část 1: Kódovací protokol pro kanál RDS –TMC s použitím ALERT-C].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>EN ISO 14819-2 Dopravní a cestovní informace (TTI), kódy událostí a informací pro RDS-TMC, Část 2: Události a informace kódované pro kanál RDS – TMC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>EN ISO 14819-3 Dopravní a cestovní informace (TTI), TTI vzkazy pomocí digitálního přenosu dopravních dat, část 3: Lokální reference pro kanál RDS – TMC</w:t>
      </w:r>
    </w:p>
    <w:p>
      <w:pPr>
        <w:pStyle w:val="BodyText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3 Zkratky</w:t>
      </w:r>
    </w:p>
    <w:p>
      <w:pPr>
        <w:pStyle w:val="Textnormy"/>
        <w:rPr>
          <w:kern w:val="0"/>
        </w:rPr>
      </w:pPr>
      <w:r>
        <w:rPr>
          <w:kern w:val="0"/>
        </w:rPr>
        <w:t xml:space="preserve">V této kapitole je uvedeno 15 zkratek použitých termínů: </w:t>
      </w:r>
      <w:r>
        <w:rPr>
          <w:b/>
          <w:kern w:val="0"/>
        </w:rPr>
        <w:t>ACP</w:t>
      </w:r>
      <w:r>
        <w:rPr>
          <w:kern w:val="0"/>
        </w:rPr>
        <w:t xml:space="preserve">, AID, CC, </w:t>
      </w:r>
      <w:r>
        <w:rPr>
          <w:b/>
          <w:kern w:val="0"/>
        </w:rPr>
        <w:t>ENCID</w:t>
      </w:r>
      <w:r>
        <w:rPr>
          <w:kern w:val="0"/>
        </w:rPr>
        <w:t xml:space="preserve">, LTN, </w:t>
      </w:r>
      <w:r>
        <w:rPr>
          <w:b/>
          <w:kern w:val="0"/>
        </w:rPr>
        <w:t>LTNBE</w:t>
      </w:r>
      <w:r>
        <w:rPr>
          <w:kern w:val="0"/>
        </w:rPr>
        <w:t xml:space="preserve">, ODA, ON, PI, RDS, rfu, SID, </w:t>
      </w:r>
      <w:r>
        <w:rPr>
          <w:b/>
          <w:kern w:val="0"/>
        </w:rPr>
        <w:t>SVK</w:t>
      </w:r>
      <w:r>
        <w:rPr>
          <w:kern w:val="0"/>
        </w:rPr>
        <w:t xml:space="preserve">, TMC, UTC. Zkratky typické pro tuto část jsou vyznačeny tučným písmem. </w:t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5. Definice</w:t>
      </w:r>
    </w:p>
    <w:p>
      <w:pPr>
        <w:pStyle w:val="Textnormy"/>
        <w:rPr>
          <w:kern w:val="0"/>
        </w:rPr>
      </w:pPr>
      <w:r>
        <w:rPr>
          <w:kern w:val="0"/>
        </w:rPr>
        <w:t>V páté kapitole jsou v článku 5.1 uvedeny definice pojmů používaných v problematice RDS – TMC, pojmy typické pro tuto část (tj. část zabývající se kódováním dopravních informací) jsou popsány v článku 5.2.</w:t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6 Popis aplikace</w:t>
      </w:r>
    </w:p>
    <w:p>
      <w:pPr>
        <w:pStyle w:val="Textnormy"/>
        <w:rPr>
          <w:kern w:val="0"/>
        </w:rPr>
      </w:pPr>
      <w:r>
        <w:rPr>
          <w:kern w:val="0"/>
        </w:rPr>
        <w:t>Po úvodu, který vysvětluje okolnosti vzniku této normy a zkratky použité v textu, je popsáno umístění identifikátoru zakódované zprávy v paketech RDS typů 3A a hlavně 8A (použití těchto paketů je uvedeno v EN ISO 14819-1).</w:t>
      </w:r>
    </w:p>
    <w:p>
      <w:pPr>
        <w:pStyle w:val="Textnormy"/>
        <w:rPr>
          <w:kern w:val="0"/>
        </w:rPr>
      </w:pPr>
      <w:r>
        <w:rPr>
          <w:kern w:val="0"/>
        </w:rPr>
        <w:t>To, že zpráva, přenášená v paketu typu 8A je kódovaná, indikuje následující skladba paketu 3A.</w:t>
      </w:r>
    </w:p>
    <w:p>
      <w:pPr>
        <w:pStyle w:val="BodyText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drawing>
          <wp:inline distT="0" distB="0" distL="0" distR="0">
            <wp:extent cx="6116955" cy="322897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5" t="-9" r="-5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3228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jc w:val="center"/>
        <w:rPr>
          <w:b/>
          <w:kern w:val="0"/>
        </w:rPr>
      </w:pPr>
      <w:r>
        <w:rPr>
          <w:b/>
          <w:kern w:val="0"/>
        </w:rPr>
        <w:t>Obrázek 1 – Paket RDS – TMC typu 3A, indikující, že data jsou kódována</w:t>
      </w:r>
    </w:p>
    <w:p>
      <w:pPr>
        <w:pStyle w:val="Textnormy"/>
        <w:rPr>
          <w:kern w:val="0"/>
        </w:rPr>
      </w:pPr>
      <w:r>
        <w:rPr>
          <w:kern w:val="0"/>
        </w:rPr>
        <w:t>Pakety a bitové operace pro kódování a dekódování jsou velmi podrobně popsány na nízké (bitové) úrovni. Údaje pro lokalizační tabulku (16 bitů ve zprávě typu 8A) jsou jednoznačně kódovány pomocí dvou šifrovacích údajů, kterými jsou: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b/>
          <w:kern w:val="0"/>
          <w:sz w:val="20"/>
          <w:szCs w:val="20"/>
          <w:lang w:eastAsia="cs-CZ"/>
        </w:rPr>
        <w:t>servisní klíč</w:t>
      </w: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 xml:space="preserve"> (SVK, poskytovatel jej ke zprávě nepřipojuje) a</w:t>
      </w:r>
    </w:p>
    <w:p>
      <w:pPr>
        <w:pStyle w:val="BodyText"/>
        <w:numPr>
          <w:ilvl w:val="0"/>
          <w:numId w:val="2"/>
        </w:numPr>
        <w:ind w:hanging="240" w:start="480" w:end="0"/>
        <w:rPr>
          <w:rFonts w:ascii="Arial" w:hAnsi="Arial" w:eastAsia="Times New Roman" w:cs="Arial"/>
          <w:kern w:val="0"/>
          <w:sz w:val="20"/>
          <w:szCs w:val="20"/>
          <w:lang w:eastAsia="cs-CZ"/>
        </w:rPr>
      </w:pPr>
      <w:r>
        <w:rPr>
          <w:rFonts w:eastAsia="Times New Roman" w:cs="Arial" w:ascii="Arial" w:hAnsi="Arial"/>
          <w:b/>
          <w:kern w:val="0"/>
          <w:sz w:val="20"/>
          <w:szCs w:val="20"/>
          <w:lang w:eastAsia="cs-CZ"/>
        </w:rPr>
        <w:t>identifikátor kódu</w:t>
      </w:r>
      <w:r>
        <w:rPr>
          <w:rFonts w:eastAsia="Times New Roman" w:cs="Arial" w:ascii="Arial" w:hAnsi="Arial"/>
          <w:kern w:val="0"/>
          <w:sz w:val="20"/>
          <w:szCs w:val="20"/>
          <w:lang w:eastAsia="cs-CZ"/>
        </w:rPr>
        <w:t xml:space="preserve"> ( ENCID, slouží k zakódování v určený den, připojen ke každé zprávě).</w:t>
      </w:r>
    </w:p>
    <w:p>
      <w:pPr>
        <w:pStyle w:val="Textnormy"/>
        <w:rPr>
          <w:kern w:val="0"/>
        </w:rPr>
      </w:pPr>
      <w:r>
        <w:rPr>
          <w:rFonts w:eastAsia="Times New Roman" w:cs="Arial"/>
          <w:kern w:val="0"/>
          <w:sz w:val="20"/>
          <w:szCs w:val="20"/>
          <w:lang w:eastAsia="cs-CZ"/>
        </w:rPr>
      </w:r>
    </w:p>
    <w:p>
      <w:pPr>
        <w:pStyle w:val="Textnormy"/>
        <w:rPr>
          <w:kern w:val="0"/>
        </w:rPr>
      </w:pPr>
      <w:r>
        <w:rPr>
          <w:kern w:val="0"/>
        </w:rPr>
        <w:t xml:space="preserve">Před použitím je nutno každý terminál pro příjem zakódovaných dat aktivovat pomocí PIN kódu. V tomto PIN kódu je zároveň ukryt druh služeb, který tento PIN umožňuje (přístup k dekódovaným datům po určitou dobu, tzn. "dobu života", která je individuálně nastavitelná). </w:t>
      </w:r>
    </w:p>
    <w:p>
      <w:pPr>
        <w:pStyle w:val="Textnormy"/>
        <w:rPr>
          <w:kern w:val="0"/>
        </w:rPr>
      </w:pPr>
      <w:r>
        <w:rPr>
          <w:kern w:val="0"/>
        </w:rPr>
        <w:t xml:space="preserve">Doporučuje se změnit kódovací parametry jednou za 24 hodin. </w:t>
      </w:r>
    </w:p>
    <w:p>
      <w:pPr>
        <w:pStyle w:val="Textnormy"/>
        <w:rPr>
          <w:kern w:val="0"/>
        </w:rPr>
      </w:pPr>
      <w:r>
        <w:rPr>
          <w:kern w:val="0"/>
        </w:rPr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7 Principy šifrování a metody podmíněného přístupu</w:t>
      </w:r>
    </w:p>
    <w:p>
      <w:pPr>
        <w:pStyle w:val="Textnormy"/>
        <w:rPr>
          <w:kern w:val="0"/>
        </w:rPr>
      </w:pPr>
      <w:r>
        <w:rPr>
          <w:kern w:val="0"/>
        </w:rPr>
        <w:t>Hlavní zásady a principy tohoto systému.</w:t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8 Kódování dat providerem</w:t>
      </w:r>
    </w:p>
    <w:p>
      <w:pPr>
        <w:pStyle w:val="Textnormy"/>
        <w:rPr>
          <w:kern w:val="0"/>
        </w:rPr>
      </w:pPr>
      <w:r>
        <w:rPr>
          <w:kern w:val="0"/>
        </w:rPr>
        <w:t>Zde jsou popsány požadavky na systém a postupy, jakými poskytovatel služeb (provider) zašifruje jím poskytovaná data za účelem podmíněného přístupu k nim.</w:t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9 Dekódování dat terminálem</w:t>
      </w:r>
    </w:p>
    <w:p>
      <w:pPr>
        <w:pStyle w:val="Textnormy"/>
        <w:rPr>
          <w:kern w:val="0"/>
        </w:rPr>
      </w:pPr>
      <w:r>
        <w:rPr>
          <w:kern w:val="0"/>
        </w:rPr>
        <w:t>Požadavky na systém terminálu a postupy vedoucí k přístupu k přijatým zprávám. Řeší, jaké základní vybavení musí mít vyrobený terminál a jak se provede jeho následná aktivace. Je zde uvedeno i několik příkladů, které mají usnadnit pochopení dekódovacích postupů.</w:t>
      </w:r>
    </w:p>
    <w:p>
      <w:pPr>
        <w:pStyle w:val="Textnormy"/>
        <w:suppressAutoHyphens w:val="false"/>
        <w:rPr>
          <w:rFonts w:eastAsia="Times New Roman"/>
          <w:b/>
          <w:kern w:val="0"/>
          <w:sz w:val="22"/>
          <w:szCs w:val="22"/>
          <w:lang w:eastAsia="cs-CZ"/>
        </w:rPr>
      </w:pPr>
      <w:r>
        <w:rPr>
          <w:rFonts w:eastAsia="Times New Roman"/>
          <w:b/>
          <w:kern w:val="0"/>
          <w:sz w:val="22"/>
          <w:szCs w:val="22"/>
          <w:lang w:eastAsia="cs-CZ"/>
        </w:rPr>
        <w:t>10 Dekódovaní dat terminálem</w:t>
      </w:r>
    </w:p>
    <w:p>
      <w:pPr>
        <w:pStyle w:val="Textnormy"/>
        <w:rPr>
          <w:kern w:val="0"/>
        </w:rPr>
      </w:pPr>
      <w:r>
        <w:rPr>
          <w:kern w:val="0"/>
        </w:rPr>
        <w:t>Porovnává vlastnosti terminálů určených pro podmíněný přístup i dříve vyrobených a popisuje, jak se bude chovat dříve vyrobený terminál, pokud přijme zakódovaný signál (nebude fungovat).</w:t>
      </w:r>
    </w:p>
    <w:p>
      <w:pPr>
        <w:pStyle w:val="Textnormy"/>
        <w:rPr>
          <w:kern w:val="0"/>
        </w:rPr>
      </w:pPr>
      <w:r>
        <w:rPr>
          <w:kern w:val="0"/>
        </w:rPr>
        <w:t>V době zpracování této normy se předpokládalo, že všechny terminály vyráběné po roce 2003 již budou vybaveny pro tento druh kódovaného provozu. Což, jak ukázal čas, se nestalo.</w:t>
      </w:r>
    </w:p>
    <w:p>
      <w:pPr>
        <w:pStyle w:val="BodyText"/>
        <w:spacing w:before="0" w:after="120"/>
        <w:rPr>
          <w:lang w:bidi="zxx"/>
        </w:rPr>
      </w:pPr>
      <w:r>
        <w:rPr>
          <w:kern w:val="0"/>
          <w:lang w:bidi="zxx"/>
        </w:rPr>
      </w:r>
    </w:p>
    <w:sectPr>
      <w:footerReference w:type="default" r:id="rId3"/>
      <w:type w:val="nextPage"/>
      <w:pgSz w:w="11906" w:h="16838"/>
      <w:pgMar w:left="1134" w:right="1134" w:gutter="0" w:header="0" w:top="1134" w:footer="1134" w:bottom="180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13" w:after="113"/>
      <w:jc w:val="center"/>
      <w:rPr/>
    </w:pPr>
    <w:r>
      <w:rPr/>
    </w:r>
    <w:r>
      <mc:AlternateContent>
        <mc:Choice Requires="wps">
          <w:drawing>
            <wp:anchor distT="0" distB="0" distL="0" distR="0" simplePos="0" relativeHeight="5" behindDoc="0" locked="0" layoutInCell="0" allowOverlap="1">
              <wp:simplePos x="0" y="0"/>
              <wp:positionH relativeFrom="page">
                <wp:posOffset>3677285</wp:posOffset>
              </wp:positionH>
              <wp:positionV relativeFrom="paragraph">
                <wp:posOffset>-12700</wp:posOffset>
              </wp:positionV>
              <wp:extent cx="71120" cy="21780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2178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spacing w:before="113" w:after="113"/>
                            <w:rPr>
                              <w:rStyle w:val="PageNumber"/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PageNumber"/>
                              <w:rFonts w:cs="Arial" w:ascii="Arial" w:hAnsi="Arial"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rFonts w:cs="Arial" w:ascii="Arial" w:hAnsi="Arial"/>
                              <w:sz w:val="20"/>
                              <w:szCs w:val="2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rFonts w:cs="Arial" w:ascii="Arial" w:hAnsi="Arial"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rFonts w:cs="Arial" w:ascii="Arial" w:hAnsi="Arial"/>
                              <w:sz w:val="20"/>
                              <w:szCs w:val="20"/>
                            </w:rPr>
                            <w:t>3</w:t>
                          </w:r>
                          <w:r>
                            <w:rPr>
                              <w:rStyle w:val="PageNumber"/>
                              <w:rFonts w:cs="Arial" w:ascii="Arial" w:hAnsi="Arial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7.15pt;mso-wrap-distance-left:0pt;mso-wrap-distance-right:0pt;mso-wrap-distance-top:0pt;mso-wrap-distance-bottom:0pt;margin-top:-1pt;mso-position-vertical-relative:text;margin-left:289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spacing w:before="113" w:after="113"/>
                      <w:rPr>
                        <w:rStyle w:val="PageNumber"/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Style w:val="PageNumber"/>
                        <w:rFonts w:cs="Arial" w:ascii="Arial" w:hAnsi="Arial"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Style w:val="PageNumber"/>
                        <w:rFonts w:cs="Arial" w:ascii="Arial" w:hAnsi="Arial"/>
                        <w:sz w:val="20"/>
                        <w:szCs w:val="20"/>
                      </w:rPr>
                      <w:instrText xml:space="preserve"> PAGE </w:instrText>
                    </w:r>
                    <w:r>
                      <w:rPr>
                        <w:rStyle w:val="PageNumber"/>
                        <w:rFonts w:cs="Arial" w:ascii="Arial" w:hAnsi="Arial"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Style w:val="PageNumber"/>
                        <w:rFonts w:cs="Arial" w:ascii="Arial" w:hAnsi="Arial"/>
                        <w:sz w:val="20"/>
                        <w:szCs w:val="20"/>
                      </w:rPr>
                      <w:t>3</w:t>
                    </w:r>
                    <w:r>
                      <w:rPr>
                        <w:rStyle w:val="PageNumber"/>
                        <w:rFonts w:cs="Arial" w:ascii="Arial" w:hAnsi="Arial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-"/>
      <w:lvlJc w:val="start"/>
      <w:pPr>
        <w:tabs>
          <w:tab w:val="num" w:pos="3192"/>
        </w:tabs>
        <w:ind w:start="3192" w:hanging="360"/>
      </w:pPr>
      <w:rPr>
        <w:rFonts w:ascii="Times New Roman" w:hAnsi="Times New Roman" w:cs="Times New Roman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113" w:after="113"/>
      <w:jc w:val="both"/>
    </w:pPr>
    <w:rPr>
      <w:rFonts w:ascii="Times New Roman" w:hAnsi="Times New Roman" w:eastAsia="Lucida Sans Unicode" w:cs="Times New Roman"/>
      <w:color w:val="auto"/>
      <w:kern w:val="2"/>
      <w:sz w:val="24"/>
      <w:szCs w:val="24"/>
      <w:lang w:val="cs-CZ" w:bidi="ar-SA" w:eastAsia="zh-CN"/>
    </w:rPr>
  </w:style>
  <w:style w:type="paragraph" w:styleId="Heading1">
    <w:name w:val="heading 1"/>
    <w:basedOn w:val="Nadpis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Nadpis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Nadpis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pBdr>
        <w:bottom w:val="single" w:sz="2" w:space="2" w:color="000000"/>
      </w:pBdr>
      <w:jc w:val="start"/>
      <w:outlineLvl w:val="3"/>
    </w:pPr>
    <w:rPr>
      <w:rFonts w:ascii="Arial" w:hAnsi="Arial" w:cs="Arial"/>
      <w:b/>
      <w:bCs/>
      <w:sz w:val="36"/>
      <w:szCs w:val="3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b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Times New Roman" w:hAnsi="Times New Roman" w:cs="Times New Roman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WW8Num5z1">
    <w:name w:val="WW8Num5z1"/>
    <w:qFormat/>
    <w:rPr>
      <w:rFonts w:ascii="Wingdings 2" w:hAnsi="Wingdings 2" w:cs="StarSymbol;Times New Roman"/>
      <w:sz w:val="18"/>
      <w:szCs w:val="18"/>
    </w:rPr>
  </w:style>
  <w:style w:type="character" w:styleId="WW8Num5z2">
    <w:name w:val="WW8Num5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Absatz-Standardschriftart1">
    <w:name w:val="Absatz-Standardschriftart1"/>
    <w:qFormat/>
    <w:rPr/>
  </w:style>
  <w:style w:type="character" w:styleId="Symbolyproslovn">
    <w:name w:val="Symboly pro číslování"/>
    <w:qFormat/>
    <w:rPr/>
  </w:style>
  <w:style w:type="character" w:styleId="Odrky">
    <w:name w:val="Odrážky"/>
    <w:qFormat/>
    <w:rPr>
      <w:rFonts w:ascii="StarSymbol;Times New Roman" w:hAnsi="StarSymbol;Times New Roman" w:eastAsia="StarSymbol;Times New Roman" w:cs="StarSymbol;Times New Roman"/>
      <w:sz w:val="18"/>
      <w:szCs w:val="18"/>
    </w:rPr>
  </w:style>
  <w:style w:type="character" w:styleId="Hyperlink">
    <w:name w:val="Hyperlink"/>
    <w:rPr>
      <w:color w:val="000080"/>
      <w:u w:val="single"/>
    </w:rPr>
  </w:style>
  <w:style w:type="character" w:styleId="TextnormyChar1">
    <w:name w:val="Text normy Char1"/>
    <w:basedOn w:val="Standardnpsmoodstavce"/>
    <w:qFormat/>
    <w:rPr>
      <w:rFonts w:ascii="Arial" w:hAnsi="Arial" w:eastAsia="Arial" w:cs="Arial"/>
      <w:kern w:val="2"/>
      <w:lang w:val="cs-CZ" w:bidi="ar-SA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Nadpis">
    <w:name w:val="Nadpis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Popisek">
    <w:name w:val="Popisek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Rejstk">
    <w:name w:val="Rejstřík"/>
    <w:basedOn w:val="Normal"/>
    <w:qFormat/>
    <w:pPr>
      <w:suppressLineNumbers/>
    </w:pPr>
    <w:rPr>
      <w:rFonts w:cs="Tahoma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709"/>
        <w:tab w:val="center" w:pos="4818" w:leader="none"/>
        <w:tab w:val="right" w:pos="9637" w:leader="none"/>
      </w:tabs>
    </w:pPr>
    <w:rPr/>
  </w:style>
  <w:style w:type="paragraph" w:styleId="Ilustrace">
    <w:name w:val="Ilustrace"/>
    <w:basedOn w:val="Popisek"/>
    <w:qFormat/>
    <w:pPr/>
    <w:rPr/>
  </w:style>
  <w:style w:type="paragraph" w:styleId="Tabulka">
    <w:name w:val="Tabulka"/>
    <w:basedOn w:val="Popisek"/>
    <w:qFormat/>
    <w:pPr/>
    <w:rPr/>
  </w:style>
  <w:style w:type="paragraph" w:styleId="Textnormy">
    <w:name w:val="Text normy"/>
    <w:qFormat/>
    <w:pPr>
      <w:widowControl/>
      <w:suppressAutoHyphens w:val="true"/>
      <w:bidi w:val="0"/>
      <w:spacing w:before="0" w:after="120"/>
      <w:jc w:val="both"/>
    </w:pPr>
    <w:rPr>
      <w:rFonts w:ascii="Arial" w:hAnsi="Arial" w:eastAsia="Arial" w:cs="Arial"/>
      <w:color w:val="auto"/>
      <w:kern w:val="2"/>
      <w:sz w:val="20"/>
      <w:szCs w:val="20"/>
      <w:lang w:val="cs-CZ" w:bidi="ar-SA" w:eastAsia="zh-CN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9"/>
        <w:tab w:val="right" w:pos="9923" w:leader="none"/>
      </w:tabs>
      <w:spacing w:before="240" w:after="360"/>
      <w:jc w:val="start"/>
    </w:pPr>
    <w:rPr>
      <w:sz w:val="28"/>
    </w:rPr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9"/>
        <w:tab w:val="left" w:pos="7371" w:leader="none"/>
        <w:tab w:val="right" w:pos="9866" w:leader="none"/>
      </w:tabs>
    </w:pPr>
    <w:rPr/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zxx"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Seznamvnorm">
    <w:name w:val="Seznam v normě"/>
    <w:basedOn w:val="Textnormy"/>
    <w:qFormat/>
    <w:pPr>
      <w:ind w:hanging="0" w:start="0" w:end="0"/>
    </w:pPr>
    <w:rPr/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sz w:val="18"/>
    </w:rPr>
  </w:style>
  <w:style w:type="paragraph" w:styleId="Obsahtabulky">
    <w:name w:val="Obsah tabulky"/>
    <w:basedOn w:val="Normal"/>
    <w:qFormat/>
    <w:pPr>
      <w:suppressLineNumbers/>
    </w:pPr>
    <w:rPr/>
  </w:style>
  <w:style w:type="paragraph" w:styleId="Obsahrmce">
    <w:name w:val="Obsah rámce"/>
    <w:basedOn w:val="BodyText"/>
    <w:qFormat/>
    <w:pPr/>
    <w:rPr/>
  </w:style>
  <w:style w:type="paragraph" w:styleId="Nadpistabulky">
    <w:name w:val="Nadpis tabulky"/>
    <w:basedOn w:val="Obsahtabulky"/>
    <w:qFormat/>
    <w:pPr>
      <w:suppressLineNumbers/>
      <w:jc w:val="center"/>
    </w:pPr>
    <w:rPr>
      <w:b/>
      <w:bCs/>
    </w:rPr>
  </w:style>
  <w:style w:type="paragraph" w:styleId="Header">
    <w:name w:val="header"/>
    <w:basedOn w:val="Normal"/>
    <w:pPr>
      <w:tabs>
        <w:tab w:val="clear" w:pos="709"/>
        <w:tab w:val="center" w:pos="4536" w:leader="none"/>
        <w:tab w:val="right" w:pos="9072" w:leader="none"/>
      </w:tabs>
    </w:pPr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Odstavec">
    <w:name w:val="Odstavec"/>
    <w:basedOn w:val="Normal"/>
    <w:qFormat/>
    <w:pPr>
      <w:widowControl/>
      <w:suppressAutoHyphens w:val="false"/>
      <w:spacing w:before="120" w:after="0"/>
      <w:ind w:firstLine="284" w:start="0" w:end="0"/>
    </w:pPr>
    <w:rPr>
      <w:rFonts w:ascii="Arial" w:hAnsi="Arial" w:eastAsia="Times New Roman" w:cs="Arial"/>
      <w:kern w:val="0"/>
      <w:sz w:val="20"/>
      <w:szCs w:val="20"/>
    </w:rPr>
  </w:style>
  <w:style w:type="paragraph" w:styleId="odr-">
    <w:name w:val="odr -"/>
    <w:basedOn w:val="Normal"/>
    <w:qFormat/>
    <w:pPr>
      <w:widowControl/>
      <w:numPr>
        <w:ilvl w:val="0"/>
        <w:numId w:val="3"/>
      </w:numPr>
      <w:suppressAutoHyphens w:val="false"/>
      <w:spacing w:before="120" w:after="0"/>
    </w:pPr>
    <w:rPr>
      <w:rFonts w:ascii="Arial" w:hAnsi="Arial" w:eastAsia="Times New Roman" w:cs="Arial"/>
      <w:kern w:val="0"/>
      <w:sz w:val="20"/>
      <w:szCs w:val="20"/>
    </w:rPr>
  </w:style>
  <w:style w:type="paragraph" w:styleId="Normlnweb">
    <w:name w:val="Normální (web)"/>
    <w:basedOn w:val="Normal"/>
    <w:qFormat/>
    <w:pPr>
      <w:widowControl/>
      <w:suppressAutoHyphens w:val="false"/>
      <w:spacing w:before="100" w:after="100"/>
      <w:jc w:val="start"/>
    </w:pPr>
    <w:rPr>
      <w:rFonts w:eastAsia="Times New Roman"/>
      <w:kern w:val="0"/>
    </w:rPr>
  </w:style>
  <w:style w:type="paragraph" w:styleId="Textkomente">
    <w:name w:val="Text komentáře"/>
    <w:basedOn w:val="Normal"/>
    <w:qFormat/>
    <w:pPr/>
    <w:rPr>
      <w:sz w:val="20"/>
      <w:szCs w:val="20"/>
    </w:rPr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3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2009-11-07T11:58:00Z</dcterms:created>
  <dc:creator>Jiří  Štefan</dc:creator>
  <dc:description/>
  <cp:keywords>Silmos Normy</cp:keywords>
  <dc:language>en-US</dc:language>
  <cp:lastModifiedBy>barta</cp:lastModifiedBy>
  <cp:lastPrinted>2008-08-20T14:00:00Z</cp:lastPrinted>
  <dcterms:modified xsi:type="dcterms:W3CDTF">2009-11-07T11:58:00Z</dcterms:modified>
  <cp:revision>2</cp:revision>
  <dc:subject/>
  <dc:title>Extrakt normy</dc:title>
</cp:coreProperties>
</file>