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03.220.01, 35.240.60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telematika – Zprávy TTI předávané označovacím jazykem s možností rozšíření Expertní skupiny protokolů pro dopravu (TPEG) – Část 1: Úvod, číslování a verze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TrZn"/>
              <w:spacing w:before="80" w:after="80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  <w:t>ČSN P CEN ISO/TS 18234-1</w:t>
            </w:r>
          </w:p>
          <w:p>
            <w:pPr>
              <w:pStyle w:val="1StrTrZn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01 8256</w:t>
            </w:r>
          </w:p>
        </w:tc>
      </w:tr>
    </w:tbl>
    <w:p>
      <w:pPr>
        <w:pStyle w:val="Shodnost"/>
        <w:tabs>
          <w:tab w:val="left" w:pos="7800" w:leader="none"/>
        </w:tabs>
        <w:rPr/>
      </w:pPr>
      <w:r>
        <w:rPr/>
        <w:t>Platí od 1.1.2007</w:t>
        <w:tab/>
        <w:t>10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V úvodu předběžné normy je popsána technologie TPEG a její vývoj. TPEG je formou strukturovaného zápisu informací o dopravě, která používá bajtově orientovaný formát toku dat, který lze použít pro přenos jakýmkoliv digitálním nosičem s příslušnou adaptační vrstvou. Zprávy TPEG jsou přenášeny od poskytovatelů služeb ke koncovým uživatelům a používají se k přenosu dat aplikace z databáze poskytovatele služeb do zařízení koncového uživatele. </w:t>
      </w:r>
    </w:p>
    <w:p>
      <w:pPr>
        <w:pStyle w:val="Textnormy"/>
        <w:rPr/>
      </w:pPr>
      <w:r>
        <w:rPr/>
        <w:t>TPEG byl vyvinut jako nový protokol pro přenos dopravních informací v prostředí širokopásmového multimediálního vysílání. Při jeho vývoji byly dodržovány tyto zásady: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je jednosměrný;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je bajtově-orientovaný, kde bajte představuje 8 bitů;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obsahuje strukturu protokolu, která používá asynchronní seskupování bitů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zahrnuje schopnost detekce chyby prostřednictvím CRC používané na různých úrovních;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předpokládá použití transparentního datového kanálu;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předpokládá, že nižší systémy budou mít příslušnou úroveň spolehlivosti;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předpokládá, že nižší systémy mohou použít korekci chyb;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má hierarchickou strukturu datového rámce;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se používá pro dopravní informace z databáze do databáze;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poskytuje název poskytovatele služby, název služby a síťové informace;</w:t>
      </w:r>
    </w:p>
    <w:p>
      <w:pPr>
        <w:pStyle w:val="Seznamvnorm"/>
        <w:numPr>
          <w:ilvl w:val="0"/>
          <w:numId w:val="3"/>
        </w:numPr>
        <w:tabs>
          <w:tab w:val="clear" w:pos="708"/>
        </w:tabs>
        <w:ind w:hanging="284" w:start="284" w:end="0"/>
        <w:rPr/>
      </w:pPr>
      <w:r>
        <w:rPr/>
        <w:t>TPEG umožňuje použití šifrovacích mechanismů, pokud jsou požadovány aplikací.</w:t>
      </w:r>
    </w:p>
    <w:p>
      <w:pPr>
        <w:pStyle w:val="Textnormy"/>
        <w:rPr/>
      </w:pPr>
      <w:r>
        <w:rPr/>
        <w:t>Protokol TPEG je strukturován do vrstev a používá obecný datový rámec, který je adaptabilní a rozšiřitelný a který může nést rámce různých délek.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>Technologie TPEG je určena pro poskytovatele služeb, neboť byla navržena pro širokou škálu aplikací, které vyžadují efektivní přenos z jednoho bodu do více bodů přes veskrze nespolehlivé širokopásmové vysílání.</w:t>
      </w:r>
    </w:p>
    <w:p>
      <w:pPr>
        <w:pStyle w:val="Textnormy"/>
        <w:tabs>
          <w:tab w:val="clear" w:pos="708"/>
          <w:tab w:val="left" w:pos="7665" w:leader="none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  <w:tab/>
      </w:r>
    </w:p>
    <w:p>
      <w:pPr>
        <w:pStyle w:val="Textnormy"/>
        <w:rPr/>
      </w:pPr>
      <w:r>
        <w:rPr/>
        <w:t>Kromě ostatních částí této specifikace (18234-2 až 6) souvisí také se všemi částmi ISO/IEC 7498, které definují OSI.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>Tato norma předkládá počáteční množinu případů použití TPEG. Umožňuje indexování nových i stávajících aplikací TPEG tím, že stanovuje pro každou aplikaci TPEG jednoznačný identifikátor AID. Dále je v příloze této normy stanoven postup sestavování zkrácených názvů norem (stávajících i budoucích), spolu v číslem redakční verze, sloužících pro rychlou orientaci v celé množině norem z této skupiny 18234.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/>
        <w:t>Tato kapitola uvádí 1 termín a jeho definici.</w:t>
      </w:r>
    </w:p>
    <w:p>
      <w:pPr>
        <w:pStyle w:val="Textnormy"/>
        <w:rPr/>
      </w:pPr>
      <w:r>
        <w:rPr/>
        <w:t>uvést definici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 Zkratky</w:t>
      </w:r>
    </w:p>
    <w:p>
      <w:pPr>
        <w:pStyle w:val="Textnormy"/>
        <w:rPr/>
      </w:pPr>
      <w:r>
        <w:rPr/>
        <w:t xml:space="preserve">Tato kapitola uvádí 22 zkratek, podstatné z nich jsou uvedeny níže: </w:t>
      </w:r>
    </w:p>
    <w:p>
      <w:pPr>
        <w:pStyle w:val="Textnormy"/>
        <w:rPr/>
      </w:pPr>
      <w:r>
        <w:rPr>
          <w:b/>
        </w:rPr>
        <w:t>TPEG</w:t>
      </w:r>
      <w:r>
        <w:rPr/>
        <w:tab/>
        <w:tab/>
        <w:t>Transport protocol experts group (Expertní skupina dopravních protokolů)</w:t>
      </w:r>
    </w:p>
    <w:p>
      <w:pPr>
        <w:pStyle w:val="Textnormy"/>
        <w:rPr/>
      </w:pPr>
      <w:r>
        <w:rPr>
          <w:b/>
        </w:rPr>
        <w:t>4.1 AID</w:t>
        <w:tab/>
      </w:r>
      <w:r>
        <w:rPr/>
        <w:tab/>
        <w:t>identifikátor aplikace TPEG</w:t>
      </w:r>
    </w:p>
    <w:p>
      <w:pPr>
        <w:pStyle w:val="Textnormy"/>
        <w:rPr/>
      </w:pPr>
      <w:r>
        <w:rPr>
          <w:b/>
        </w:rPr>
        <w:t>4.2 ARIB</w:t>
      </w:r>
      <w:r>
        <w:rPr/>
        <w:tab/>
        <w:t xml:space="preserve">asociace rádiových společností </w:t>
      </w:r>
      <w:r>
        <w:rPr>
          <w:i/>
        </w:rPr>
        <w:t>(Association of Radio Industries and Business)</w:t>
      </w:r>
      <w:r>
        <w:rPr/>
        <w:t xml:space="preserve"> </w:t>
      </w:r>
    </w:p>
    <w:p>
      <w:pPr>
        <w:pStyle w:val="Textnormy"/>
        <w:rPr/>
      </w:pPr>
      <w:r>
        <w:rPr>
          <w:b/>
        </w:rPr>
        <w:t>4.3 ATSC</w:t>
      </w:r>
      <w:r>
        <w:rPr/>
        <w:tab/>
        <w:t xml:space="preserve">komise pro televizní normy v Americe </w:t>
      </w:r>
      <w:r>
        <w:rPr>
          <w:i/>
        </w:rPr>
        <w:t>(American Television Standards Committee)</w:t>
      </w:r>
      <w:r>
        <w:rPr/>
        <w:t xml:space="preserve"> </w:t>
      </w:r>
    </w:p>
    <w:p>
      <w:pPr>
        <w:pStyle w:val="Textnormy"/>
        <w:rPr/>
      </w:pPr>
      <w:r>
        <w:rPr>
          <w:b/>
        </w:rPr>
        <w:t>4.7 DAB</w:t>
      </w:r>
      <w:r>
        <w:rPr/>
        <w:tab/>
        <w:t xml:space="preserve">digitální audio vysílání </w:t>
      </w:r>
    </w:p>
    <w:p>
      <w:pPr>
        <w:pStyle w:val="Textnormy"/>
        <w:rPr/>
      </w:pPr>
      <w:r>
        <w:rPr>
          <w:b/>
        </w:rPr>
        <w:t>4.8 DVB</w:t>
      </w:r>
      <w:r>
        <w:rPr/>
        <w:tab/>
        <w:t>digitální vysílání videosignálu</w:t>
      </w:r>
    </w:p>
    <w:p>
      <w:pPr>
        <w:pStyle w:val="Textnormy"/>
        <w:rPr/>
      </w:pPr>
      <w:r>
        <w:rPr>
          <w:b/>
        </w:rPr>
        <w:t>4.15 RDS-TMC</w:t>
      </w:r>
      <w:r>
        <w:rPr/>
        <w:tab/>
      </w:r>
      <w:r>
        <w:rPr>
          <w:rFonts w:cs="Arial"/>
        </w:rPr>
        <w:t>rádiový datový systém – kanál dopravních zpráv</w:t>
      </w:r>
      <w:r>
        <w:rPr/>
        <w:t xml:space="preserve"> </w:t>
      </w:r>
      <w:r>
        <w:rPr>
          <w:i/>
        </w:rPr>
        <w:t>(Radio data system – Traffic message channel)</w:t>
      </w:r>
    </w:p>
    <w:p>
      <w:pPr>
        <w:pStyle w:val="Textnormy"/>
        <w:rPr>
          <w:i/>
        </w:rPr>
      </w:pPr>
      <w:r>
        <w:rPr>
          <w:b/>
        </w:rPr>
        <w:t>4.16 RTM</w:t>
      </w:r>
      <w:r>
        <w:rPr/>
        <w:tab/>
        <w:t xml:space="preserve">zpráva o stavu dopravy </w:t>
      </w:r>
      <w:r>
        <w:rPr>
          <w:i/>
        </w:rPr>
        <w:t>(Road Traffic Message)</w:t>
      </w:r>
    </w:p>
    <w:p>
      <w:pPr>
        <w:pStyle w:val="Textnormy"/>
        <w:rPr/>
      </w:pPr>
      <w:r>
        <w:rPr>
          <w:i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>
        <w:rPr>
          <w:rFonts w:hint="eastAsia"/>
          <w:b/>
          <w:sz w:val="22"/>
          <w:szCs w:val="22"/>
        </w:rPr>
        <w:t> </w:t>
      </w:r>
      <w:r>
        <w:rPr>
          <w:b/>
          <w:sz w:val="22"/>
          <w:szCs w:val="22"/>
        </w:rPr>
        <w:t>Identifikace aplikace</w:t>
      </w:r>
    </w:p>
    <w:p>
      <w:pPr>
        <w:pStyle w:val="Textnormy"/>
        <w:rPr/>
      </w:pPr>
      <w:r>
        <w:rPr/>
        <w:t>Každá aplikace TPEG musí mít přidělen svůj identifikátor AID, ten je přidělen okamžitě po dokončení vývoje aplikace před započetím jejího užití v rámci struktury TPEG.. Přidělený identifikátor aplikace je nezbytně nutný (viz CEN ISO/TS 18234-3) pro určení způsobu zpracování strukturované informace a pro směrování (routování) těchto informací k dekodéru náležejícímu dané aplikaci.</w:t>
      </w:r>
    </w:p>
    <w:p>
      <w:pPr>
        <w:pStyle w:val="NadpisTabObr"/>
        <w:rPr/>
      </w:pPr>
      <w:r>
        <w:rPr/>
        <w:t>Tabulka 1 – Seznam přidělených identifikátorů aplikace TPEG</w:t>
      </w:r>
    </w:p>
    <w:p>
      <w:pPr>
        <w:pStyle w:val="Normal"/>
        <w:jc w:val="center"/>
        <w:rPr/>
      </w:pPr>
      <w:r>
        <w:rPr>
          <w:rFonts w:eastAsia="Lucida Sans Unicode"/>
          <w:kern w:val="2"/>
          <w:sz w:val="24"/>
          <w:szCs w:val="24"/>
          <w:lang w:eastAsia="ar-SA"/>
        </w:rPr>
        <w:drawing>
          <wp:inline distT="0" distB="0" distL="0" distR="0">
            <wp:extent cx="3952875" cy="16097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22" r="-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</w:t>
      </w:r>
      <w:r>
        <w:rPr>
          <w:rFonts w:hint="eastAsia"/>
          <w:b/>
          <w:sz w:val="22"/>
          <w:szCs w:val="22"/>
        </w:rPr>
        <w:t> </w:t>
      </w:r>
      <w:r>
        <w:rPr>
          <w:b/>
          <w:sz w:val="22"/>
          <w:szCs w:val="22"/>
        </w:rPr>
        <w:t>Aplikace a přenosová prostředí</w:t>
      </w:r>
    </w:p>
    <w:p>
      <w:pPr>
        <w:pStyle w:val="Textnormy"/>
        <w:rPr/>
      </w:pPr>
      <w:r>
        <w:rPr/>
        <w:t xml:space="preserve">Použití protokolu TPEG je podmiňováno vysokorychlostním přenosovým prostředím. Jako vysokorychlostní prostředí je míněno takové, které je „rychlejší“ než RDS (přenosová rychlost ~80 b/s). V rámci vývoje norem TPEG byly vyzkoušeny digitální pozemní audio vysílání DAB a Internet, pro obě tato prostředí jsou dobře popsány technické podmínky adaptace protokolu přenosovému médiu. Zároveň byla v rámci vývoje zkoumána přenosová prostředí ARIB, ATSC a DVB, která mají velmi vysokou přenosovou kapacitu, ovšem s tím závěrem, že díky přílišné složitosti jejich struktury jsou </w:t>
      </w:r>
      <w:r>
        <w:rPr>
          <w:b/>
        </w:rPr>
        <w:t>nevhodná</w:t>
      </w:r>
      <w:r>
        <w:rPr/>
        <w:t xml:space="preserve"> pro přenos informací ve struktuře TPEG.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(informativní) Přehled jednotlivých částí, pojmenování a verzí</w:t>
      </w:r>
    </w:p>
    <w:p>
      <w:pPr>
        <w:pStyle w:val="Textnormy"/>
        <w:rPr/>
      </w:pPr>
      <w:r>
        <w:rPr/>
        <w:t>Tato příloha poskytuje přehled, o jakých norem je specifikace protokolu TPEG rozložena a jak jsou pojmenovány a jak mají být číslovány různé verze vznikajících norem. Zároveň pro nově přidané položky specifikuje, jak mají být pojmenovány. V případě, že se jedná o vysvětlivky k dané normě (guidelines), tak je za zkrácený název a verzi dodáno písmeno G.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>
          <w:b/>
        </w:rPr>
        <w:t>Příklad:</w:t>
      </w:r>
      <w:r>
        <w:rPr/>
        <w:t xml:space="preserve"> 2. redakční verze aplikace TPEG RTM byla publikována jako: </w:t>
      </w:r>
      <w:r>
        <w:rPr>
          <w:b/>
        </w:rPr>
        <w:t>TPEG-RTM_1.0/002.</w:t>
      </w:r>
    </w:p>
    <w:p>
      <w:pPr>
        <w:pStyle w:val="NadpisTabObr"/>
        <w:rPr/>
      </w:pPr>
      <w:r>
        <w:rPr/>
        <w:t>Tabulka 2 – Seznam norem a jejich vydaných verzí</w:t>
      </w:r>
    </w:p>
    <w:p>
      <w:pPr>
        <w:pStyle w:val="Normal"/>
        <w:jc w:val="center"/>
        <w:rPr/>
      </w:pPr>
      <w:r>
        <w:rPr>
          <w:rFonts w:eastAsia="Lucida Sans Unicode"/>
          <w:kern w:val="2"/>
          <w:sz w:val="24"/>
          <w:szCs w:val="24"/>
          <w:lang w:eastAsia="ar-SA"/>
        </w:rPr>
        <w:drawing>
          <wp:inline distT="0" distB="0" distL="0" distR="0">
            <wp:extent cx="4953000" cy="16478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7" t="-22" r="-7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MIFBNE+Arial">
    <w:altName w:val="Bold"/>
    <w:charset w:val="00" w:characterSet="windows-1252"/>
    <w:family w:val="swiss"/>
    <w:pitch w:val="default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Wingdings" w:hAnsi="Wingdings" w:cs="StarSymbol;Times New Roman"/>
      <w:sz w:val="18"/>
      <w:szCs w:val="18"/>
    </w:rPr>
  </w:style>
  <w:style w:type="character" w:styleId="WW8Num4z1">
    <w:name w:val="WW8Num4z1"/>
    <w:qFormat/>
    <w:rPr>
      <w:rFonts w:ascii="Wingdings 2" w:hAnsi="Wingdings 2" w:cs="StarSymbol;Times New Roman"/>
      <w:sz w:val="18"/>
      <w:szCs w:val="18"/>
    </w:rPr>
  </w:style>
  <w:style w:type="character" w:styleId="WW8Num4z2">
    <w:name w:val="WW8Num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10z0">
    <w:name w:val="WW8Num10z0"/>
    <w:qFormat/>
    <w:rPr>
      <w:rFonts w:ascii="Wingdings" w:hAnsi="Wingdings" w:cs="StarSymbol;Times New Roman"/>
      <w:sz w:val="18"/>
      <w:szCs w:val="18"/>
    </w:rPr>
  </w:style>
  <w:style w:type="character" w:styleId="WW8Num10z1">
    <w:name w:val="WW8Num10z1"/>
    <w:qFormat/>
    <w:rPr>
      <w:rFonts w:ascii="Wingdings 2" w:hAnsi="Wingdings 2" w:cs="StarSymbol;Times New Roman"/>
      <w:sz w:val="18"/>
      <w:szCs w:val="18"/>
    </w:rPr>
  </w:style>
  <w:style w:type="character" w:styleId="WW8Num10z2">
    <w:name w:val="WW8Num10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2z0">
    <w:name w:val="WW8Num12z0"/>
    <w:qFormat/>
    <w:rPr>
      <w:rFonts w:ascii="Arial" w:hAnsi="Arial" w:cs="Arial"/>
      <w:sz w:val="18"/>
      <w:szCs w:val="18"/>
    </w:rPr>
  </w:style>
  <w:style w:type="character" w:styleId="WW8Num12z1">
    <w:name w:val="WW8Num12z1"/>
    <w:qFormat/>
    <w:rPr>
      <w:rFonts w:ascii="Wingdings 2" w:hAnsi="Wingdings 2" w:cs="StarSymbol;Times New Roman"/>
      <w:sz w:val="18"/>
      <w:szCs w:val="18"/>
    </w:rPr>
  </w:style>
  <w:style w:type="character" w:styleId="WW8Num12z2">
    <w:name w:val="WW8Num1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2z3">
    <w:name w:val="WW8Num12z3"/>
    <w:qFormat/>
    <w:rPr>
      <w:rFonts w:ascii="Wingdings" w:hAnsi="Wingdings" w:cs="StarSymbol;Times New Roman"/>
      <w:sz w:val="18"/>
      <w:szCs w:val="18"/>
    </w:rPr>
  </w:style>
  <w:style w:type="character" w:styleId="WW8Num13z0">
    <w:name w:val="WW8Num13z0"/>
    <w:qFormat/>
    <w:rPr>
      <w:rFonts w:ascii="Arial" w:hAnsi="Arial" w:cs="Arial"/>
      <w:sz w:val="18"/>
      <w:szCs w:val="18"/>
    </w:rPr>
  </w:style>
  <w:style w:type="character" w:styleId="WW8Num13z1">
    <w:name w:val="WW8Num13z1"/>
    <w:qFormat/>
    <w:rPr>
      <w:rFonts w:ascii="Wingdings 2" w:hAnsi="Wingdings 2" w:cs="StarSymbol;Times New Roman"/>
      <w:sz w:val="18"/>
      <w:szCs w:val="18"/>
    </w:rPr>
  </w:style>
  <w:style w:type="character" w:styleId="WW8Num13z2">
    <w:name w:val="WW8Num1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3z3">
    <w:name w:val="WW8Num13z3"/>
    <w:qFormat/>
    <w:rPr>
      <w:rFonts w:ascii="Wingdings" w:hAnsi="Wingdings" w:cs="StarSymbol;Times New Roman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FootnoteCharacters">
    <w:name w:val="Footnote Characters"/>
    <w:basedOn w:val="Standardnpsmoodstavce"/>
    <w:qFormat/>
    <w:rPr>
      <w:vertAlign w:val="superscript"/>
    </w:rPr>
  </w:style>
  <w:style w:type="character" w:styleId="NadpisTabObrChar">
    <w:name w:val="NadpisTabObr Char"/>
    <w:basedOn w:val="Standardnpsmoodstavce"/>
    <w:qFormat/>
    <w:rPr>
      <w:rFonts w:ascii="Arial" w:hAnsi="Arial" w:cs="Arial"/>
      <w:b/>
      <w:lang w:val="cs-CZ" w:bidi="ar-SA"/>
    </w:rPr>
  </w:style>
  <w:style w:type="character" w:styleId="NadpislnkuChar">
    <w:name w:val="Nadpis článku Char"/>
    <w:basedOn w:val="TextnormyChar1"/>
    <w:qFormat/>
    <w:rPr>
      <w:b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3"/>
      </w:numPr>
    </w:pPr>
    <w:rPr/>
  </w:style>
  <w:style w:type="paragraph" w:styleId="TextnormyUS">
    <w:name w:val="Text normy US"/>
    <w:basedOn w:val="Textnormy"/>
    <w:qFormat/>
    <w:pPr>
      <w:spacing w:before="0" w:after="0"/>
    </w:pPr>
    <w:rPr>
      <w:lang w:val="en-US" w:eastAsia="en-US"/>
    </w:rPr>
  </w:style>
  <w:style w:type="paragraph" w:styleId="Abecednseznam">
    <w:name w:val="Abecední seznam"/>
    <w:basedOn w:val="Textnormy"/>
    <w:qFormat/>
    <w:pPr>
      <w:numPr>
        <w:ilvl w:val="0"/>
        <w:numId w:val="5"/>
      </w:numPr>
      <w:tabs>
        <w:tab w:val="clear" w:pos="708"/>
      </w:tabs>
    </w:pPr>
    <w:rPr/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MIFBNE+Arial,Bold;Arial" w:hAnsi="MIFBNE+Arial,Bold;Arial" w:eastAsia="Times New Roman" w:cs="MIFBNE+Arial,Bold;Arial"/>
      <w:color w:val="000000"/>
      <w:sz w:val="24"/>
      <w:szCs w:val="24"/>
      <w:lang w:val="cs-CZ" w:bidi="ar-SA" w:eastAsia="zh-CN"/>
    </w:rPr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FootnoteText">
    <w:name w:val="footnote text"/>
    <w:basedOn w:val="Poznmka"/>
    <w:pPr>
      <w:spacing w:before="60" w:after="0"/>
    </w:pPr>
    <w:rPr/>
  </w:style>
  <w:style w:type="paragraph" w:styleId="slovanseznam">
    <w:name w:val="Číslovaný seznam"/>
    <w:basedOn w:val="Textnormy"/>
    <w:qFormat/>
    <w:pPr>
      <w:numPr>
        <w:ilvl w:val="0"/>
        <w:numId w:val="4"/>
      </w:numPr>
    </w:pPr>
    <w:rPr/>
  </w:style>
  <w:style w:type="paragraph" w:styleId="Tabletext9">
    <w:name w:val="Table text (9)"/>
    <w:basedOn w:val="Normal"/>
    <w:qFormat/>
    <w:pPr>
      <w:spacing w:lineRule="atLeast" w:line="210" w:before="60" w:after="60"/>
    </w:pPr>
    <w:rPr>
      <w:sz w:val="18"/>
    </w:rPr>
  </w:style>
  <w:style w:type="paragraph" w:styleId="Seznamsodrkami">
    <w:name w:val="Seznam s odrážkami"/>
    <w:basedOn w:val="Normal"/>
    <w:qFormat/>
    <w:pPr>
      <w:widowControl w:val="false"/>
      <w:numPr>
        <w:ilvl w:val="0"/>
        <w:numId w:val="2"/>
      </w:numPr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kern w:val="2"/>
      <w:sz w:val="24"/>
      <w:szCs w:val="24"/>
    </w:rPr>
  </w:style>
  <w:style w:type="paragraph" w:styleId="Obrzek">
    <w:name w:val="Obrázek"/>
    <w:basedOn w:val="Textnormy"/>
    <w:next w:val="NadpisTabObr"/>
    <w:qFormat/>
    <w:pPr>
      <w:keepNext w:val="true"/>
      <w:spacing w:before="0" w:after="160"/>
      <w:jc w:val="center"/>
    </w:pPr>
    <w:rPr/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2008-11-26T19:41:00Z</dcterms:created>
  <dc:creator>David Bárta</dc:creator>
  <dc:description/>
  <cp:keywords/>
  <dc:language>en-US</dc:language>
  <cp:lastModifiedBy>barta</cp:lastModifiedBy>
  <cp:lastPrinted>2008-08-26T00:25:00Z</cp:lastPrinted>
  <dcterms:modified xsi:type="dcterms:W3CDTF">2009-11-09T12:12:00Z</dcterms:modified>
  <cp:revision>3</cp:revision>
  <dc:subject/>
  <dc:title>ČESKÁ TECHNICKÁ NORMA</dc:title>
</cp:coreProperties>
</file>