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emf" ContentType="image/x-emf"/>
  <Override PartName="/word/media/image2.emf" ContentType="image/x-emf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Str1Rad"/>
        <w:numPr>
          <w:ilvl w:val="0"/>
          <w:numId w:val="0"/>
        </w:numPr>
        <w:tabs>
          <w:tab w:val="clear" w:pos="7371"/>
          <w:tab w:val="clear" w:pos="9866"/>
          <w:tab w:val="left" w:pos="7080" w:leader="none"/>
          <w:tab w:val="right" w:pos="9923" w:leader="none"/>
        </w:tabs>
        <w:spacing w:before="0" w:after="60"/>
        <w:jc w:val="center"/>
        <w:outlineLvl w:val="0"/>
        <w:rPr>
          <w:b/>
          <w:sz w:val="40"/>
          <w:szCs w:val="40"/>
        </w:rPr>
      </w:pPr>
      <w:r>
        <w:rPr>
          <w:b/>
          <w:sz w:val="40"/>
          <w:szCs w:val="40"/>
        </w:rPr>
        <w:t>EXTRAKT z české technické normy</w:t>
      </w:r>
    </w:p>
    <w:p>
      <w:pPr>
        <w:pStyle w:val="Textnormy"/>
        <w:numPr>
          <w:ilvl w:val="0"/>
          <w:numId w:val="0"/>
        </w:numPr>
        <w:outlineLvl w:val="0"/>
        <w:rPr>
          <w:b/>
        </w:rPr>
      </w:pPr>
      <w:r>
        <w:rPr>
          <w:b/>
        </w:rPr>
        <w:t>Extrakt nenahrazuje samotnou technickou normu, je pouze informativním materiálem o normě.</w:t>
      </w:r>
    </w:p>
    <w:p>
      <w:pPr>
        <w:pStyle w:val="1Str1Rad"/>
        <w:numPr>
          <w:ilvl w:val="0"/>
          <w:numId w:val="0"/>
        </w:numPr>
        <w:tabs>
          <w:tab w:val="clear" w:pos="7371"/>
          <w:tab w:val="clear" w:pos="9866"/>
          <w:tab w:val="left" w:pos="7080" w:leader="none"/>
          <w:tab w:val="right" w:pos="9923" w:leader="none"/>
        </w:tabs>
        <w:spacing w:before="0" w:after="60"/>
        <w:outlineLvl w:val="0"/>
        <w:rPr>
          <w:b/>
          <w:sz w:val="40"/>
          <w:szCs w:val="40"/>
        </w:rPr>
      </w:pPr>
      <w:r>
        <w:rPr>
          <w:b/>
          <w:sz w:val="40"/>
          <w:szCs w:val="40"/>
        </w:rPr>
        <w:t>ICS 35.240.60;03.220.20</w:t>
      </w:r>
    </w:p>
    <w:tbl>
      <w:tblPr>
        <w:tblW w:w="9923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7371"/>
        <w:gridCol w:w="2552"/>
      </w:tblGrid>
      <w:tr>
        <w:trPr>
          <w:trHeight w:val="1701" w:hRule="atLeast"/>
          <w:cantSplit/>
        </w:trPr>
        <w:tc>
          <w:tcPr>
            <w:tcW w:w="7371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1StrCN"/>
              <w:spacing w:before="180" w:after="0"/>
              <w:rPr/>
            </w:pPr>
            <w:r>
              <w:rPr/>
              <w:t>Dopravní a cestovní informace (TTI) – TTI předávané rozšiřitelným označovacím jazykem (XML) – Expertní skupiny protokolů pro dopravu (TPEG) – Část 1: Představení, obecný datový typ a tpegML</w:t>
            </w:r>
          </w:p>
        </w:tc>
        <w:tc>
          <w:tcPr>
            <w:tcW w:w="2552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1StrCN"/>
              <w:spacing w:before="180" w:after="0"/>
              <w:rPr>
                <w:b w:val="false"/>
                <w:sz w:val="28"/>
              </w:rPr>
            </w:pPr>
            <w:r>
              <w:rPr/>
              <w:t>ČSN P</w:t>
              <w:br/>
              <w:t>CEN ISO TS 24530-1</w:t>
              <w:br/>
            </w:r>
          </w:p>
          <w:p>
            <w:pPr>
              <w:pStyle w:val="1StrTrZn"/>
              <w:spacing w:before="80" w:after="80"/>
              <w:rPr/>
            </w:pPr>
            <w:r>
              <w:rPr/>
              <w:t>01 8257</w:t>
            </w:r>
          </w:p>
        </w:tc>
      </w:tr>
    </w:tbl>
    <w:p>
      <w:pPr>
        <w:pStyle w:val="Shodnost"/>
        <w:tabs>
          <w:tab w:val="left" w:pos="7920" w:leader="none"/>
        </w:tabs>
        <w:rPr/>
      </w:pPr>
      <w:r>
        <w:rPr/>
        <w:t>Platí od 1.1.2007</w:t>
        <w:tab/>
        <w:t>12 stran</w:t>
      </w:r>
    </w:p>
    <w:p>
      <w:pPr>
        <w:pStyle w:val="Textnormy"/>
        <w:numPr>
          <w:ilvl w:val="0"/>
          <w:numId w:val="0"/>
        </w:numPr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Úvod</w:t>
      </w:r>
    </w:p>
    <w:p>
      <w:pPr>
        <w:pStyle w:val="Textnormy"/>
        <w:rPr/>
      </w:pPr>
      <w:r>
        <w:rPr/>
        <w:t>Tato norma je 1. částí souboru norem věnující se standardizaci protokolu pro dopravu TPEG. Detailně popisuje nejvyšší úroveň TPEG v jazyku XML využívající aplikace tpegML. Aplikace tpegML je navrhována do zprávy o stavu dopravy na dopravní síti. Umožňuje propojením do infrastruktury a tím ovlivnění trasy například nadměrného nákladu apod. Poskytované informace zahrnují hierarchicky uspořádané informace o událostech, informace o stavu na silnici a případně o infrastruktuře ovlivňující dopravu.</w:t>
      </w:r>
    </w:p>
    <w:p>
      <w:pPr>
        <w:pStyle w:val="Textnormy"/>
        <w:rPr/>
      </w:pPr>
      <w:r>
        <w:rPr/>
        <w:t>Pro správné porozumění textu je vhodné se seznámit se specifikací binárního TPEG (soubor norem ISO/TS 18234).</w:t>
      </w:r>
    </w:p>
    <w:p>
      <w:pPr>
        <w:pStyle w:val="Textnormy"/>
        <w:rPr>
          <w:highlight w:val="yellow"/>
        </w:rPr>
      </w:pPr>
      <w:r>
        <w:rPr/>
        <w:t>Součástí normy jsou tři přílohy, jejichž příklady jsou uvedeny v závěru extraktu. Příloha A obsahuje normativ DTD pro tpegMLDataTypes.dtd. Příloha B obsahuje normativ pro tpegML.dtd a příloha C popisuje možnosti a pravidla budoucí nadstavby a rozšíření DTDs.</w:t>
      </w:r>
    </w:p>
    <w:p>
      <w:pPr>
        <w:pStyle w:val="Textnormy"/>
        <w:numPr>
          <w:ilvl w:val="0"/>
          <w:numId w:val="0"/>
        </w:numPr>
        <w:outlineLvl w:val="0"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</w:rPr>
        <w:t>Užití</w:t>
      </w:r>
    </w:p>
    <w:p>
      <w:pPr>
        <w:pStyle w:val="Textnormy"/>
        <w:rPr/>
      </w:pPr>
      <w:r>
        <w:rPr/>
        <w:t>TPEG aplikace byly prvotně vytvořeny za účelem poskytování dopravních informací tak, aby bylo umožněno jejich kódování, dekódování, filtrování a následná interpretace jak vizuální, tak hlasová. Původní technologie TPEG využívá bitový formát. Vývoj této původní binární technologie TPEG byl určen především pro přenos prostřednictvím digitálního rádia (DAB) a případně internetem s přenosovou rychlostí do 10 kbit/s.</w:t>
      </w:r>
    </w:p>
    <w:p>
      <w:pPr>
        <w:pStyle w:val="Textnormy"/>
        <w:rPr>
          <w:spacing w:val="-2"/>
          <w:highlight w:val="yellow"/>
        </w:rPr>
      </w:pPr>
      <w:r>
        <w:rPr/>
        <w:t>Jazyková nezávislost XML dat je řešena pomocí DTD, ve kterých jsou definovány kódy atributů a jejich konkrétní textová reprezentace pro určitý jazyk. Samotné XML pak využívá jen kódů, které se dají pomocí jazykově závislého DTD převést do textu ve zvoleném jazyce.</w:t>
      </w:r>
    </w:p>
    <w:p>
      <w:pPr>
        <w:pStyle w:val="Textnormy"/>
        <w:numPr>
          <w:ilvl w:val="0"/>
          <w:numId w:val="0"/>
        </w:numPr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Související normy</w:t>
      </w:r>
    </w:p>
    <w:p>
      <w:pPr>
        <w:pStyle w:val="Textnormy"/>
        <w:rPr/>
      </w:pPr>
      <w:r>
        <w:rPr/>
        <w:t>Čtenářům se doporučuje seznámit se s technickými specifikacemi ISO/TS 24530-2, ISO/TS 24530-3, ISO/TS 24530-4 případně s dalšími publikovanými pracemi na téma TPEG. Vhodnými specifikacemi jsou i ISO/TS 18234-1, ISO/TS 18234-2, ISO/TS 18234-4, ISO/TS 18234-5 a ISO/TS 18234-6.</w:t>
      </w:r>
    </w:p>
    <w:p>
      <w:pPr>
        <w:pStyle w:val="Textnormy"/>
        <w:numPr>
          <w:ilvl w:val="0"/>
          <w:numId w:val="0"/>
        </w:numPr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3 Zkratky</w:t>
      </w:r>
    </w:p>
    <w:p>
      <w:pPr>
        <w:pStyle w:val="Textnormy"/>
        <w:rPr/>
      </w:pPr>
      <w:r>
        <w:rPr/>
        <w:t>Norma pracuje zejména s těmito zkratkami: ARIB, ATSC, DAB, DTD, DVB, EBU, IPR, PTI, RTM, SSF, TPEG.</w:t>
      </w:r>
    </w:p>
    <w:p>
      <w:pPr>
        <w:pStyle w:val="Textnormy"/>
        <w:numPr>
          <w:ilvl w:val="0"/>
          <w:numId w:val="0"/>
        </w:numPr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4 Formát technické specifikace</w:t>
      </w:r>
    </w:p>
    <w:p>
      <w:pPr>
        <w:pStyle w:val="Textnormy"/>
        <w:rPr/>
      </w:pPr>
      <w:r>
        <w:rPr/>
        <w:t xml:space="preserve">Každá kapitola normy popisuje použití tpegML v XML. Po představení a vysvětlení, co kapitola obsahuje a popisuje, stanovuje příslušnou typovou definici dokumentu (DTD) a uvádí příklad. Úplný seznam souborů DTD je uveden v přílohách A a B. </w:t>
      </w:r>
    </w:p>
    <w:p>
      <w:pPr>
        <w:pStyle w:val="Textnormy"/>
        <w:rPr/>
      </w:pPr>
      <w:r>
        <w:rPr/>
        <w:t xml:space="preserve">Seznamy atributů jednotlivých prvků používaných v tpegML najdeme v tabulkách specifikací TPEG. V XML struktuře jsou jednotlivé vstupy kódovány. Atributy prvků v této technické specifikaci jsou převzaté z příslušné části CEN ISO/TS 18234. </w:t>
      </w:r>
    </w:p>
    <w:p>
      <w:pPr>
        <w:pStyle w:val="Textnormy"/>
        <w:rPr/>
      </w:pPr>
      <w:r>
        <w:rPr/>
        <w:t>Pro kódování prvků je používán formát rtmX_Y, kde X vyjadřuje číslo tabulky a Y číslo řádku v dané tabulce (například rtm01_1).</w:t>
      </w:r>
    </w:p>
    <w:p>
      <w:pPr>
        <w:pStyle w:val="Textnormy"/>
        <w:rPr/>
      </w:pPr>
      <w:r>
        <w:rPr/>
        <w:t>V kapitole je uveden příklad kódu napsaného v jazyce XML na pozemní komunikaci z důvodu nehody na A12 a na následné přesměrování na objízdnou trasu.</w:t>
      </w:r>
    </w:p>
    <w:p>
      <w:pPr>
        <w:pStyle w:val="Textnormy"/>
        <w:numPr>
          <w:ilvl w:val="0"/>
          <w:numId w:val="0"/>
        </w:numPr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5 Pojmy a zápisy souboru tpegMLDATAQTypes.dt. pro jazyk XML</w:t>
      </w:r>
    </w:p>
    <w:p>
      <w:pPr>
        <w:pStyle w:val="Textnormy"/>
        <w:rPr/>
      </w:pPr>
      <w:r>
        <w:rPr/>
        <w:t>Kapitola definuje pojmy a zápisy souboru tpegMLDATAQTypes.dt. pro jazyk XML. Kompletní seznam se zkratkami je uveden v příloze A, kde jsou uvedeny i příslušné rozsahy definovaného slova pro programátora.</w:t>
      </w:r>
    </w:p>
    <w:p>
      <w:pPr>
        <w:pStyle w:val="Textnormy"/>
        <w:numPr>
          <w:ilvl w:val="0"/>
          <w:numId w:val="0"/>
        </w:numPr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6 Pojmy a zápisy souboru tpegML.dt. pro jazyk XML</w:t>
      </w:r>
    </w:p>
    <w:p>
      <w:pPr>
        <w:pStyle w:val="Textnormy"/>
        <w:rPr/>
      </w:pPr>
      <w:r>
        <w:rPr/>
        <w:t>Kapitola definuje pojmy a zápisy souboru tpegML.dt. pro jazyk XML. Kompletní seznam se zkratkami je uveden v příloze A, kde jsou uvedeny i příslušné rozsahy definovaného slova pro programátora.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Příloha A (normativní) DTD pro tpegML – obecný datový typ (tpegMLDataTypes.dtd)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drawing>
          <wp:inline distT="0" distB="0" distL="0" distR="0">
            <wp:extent cx="5553075" cy="459105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6" t="-8" r="-6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4591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Příloha B (normativní) DTD pro tpegML (tpegML.dtd)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drawing>
          <wp:inline distT="0" distB="0" distL="0" distR="0">
            <wp:extent cx="5755640" cy="6337935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6" t="-6" r="-6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40" cy="6337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Příloha C (normativní) </w:t>
      </w:r>
    </w:p>
    <w:p>
      <w:pPr>
        <w:pStyle w:val="Textnormy"/>
        <w:rPr/>
      </w:pPr>
      <w:r>
        <w:rPr/>
        <w:t>Tato příloha se týká budoucích rozšíření typů dokumentů.</w:t>
      </w:r>
    </w:p>
    <w:p>
      <w:pPr>
        <w:pStyle w:val="Textnormy"/>
        <w:ind w:start="360" w:end="0"/>
        <w:rPr/>
      </w:pPr>
      <w:r>
        <w:rPr/>
        <w:t>DTDs může být změněno s dodržením psaných syntaxí s tím, že jsou daná jistá, dále popsaná pravidla:</w:t>
      </w:r>
    </w:p>
    <w:p>
      <w:pPr>
        <w:pStyle w:val="Textnormy"/>
        <w:numPr>
          <w:ilvl w:val="0"/>
          <w:numId w:val="3"/>
        </w:numPr>
        <w:rPr/>
      </w:pPr>
      <w:r>
        <w:rPr/>
        <w:t>Prvky nemohou být odlišné.</w:t>
      </w:r>
    </w:p>
    <w:p>
      <w:pPr>
        <w:pStyle w:val="Textnormy"/>
        <w:numPr>
          <w:ilvl w:val="0"/>
          <w:numId w:val="3"/>
        </w:numPr>
        <w:rPr/>
      </w:pPr>
      <w:r>
        <w:rPr/>
        <w:t>Atributy nemohou být odlišné.</w:t>
      </w:r>
    </w:p>
    <w:p>
      <w:pPr>
        <w:pStyle w:val="Textnormy"/>
        <w:numPr>
          <w:ilvl w:val="0"/>
          <w:numId w:val="3"/>
        </w:numPr>
        <w:rPr/>
      </w:pPr>
      <w:r>
        <w:rPr/>
        <w:t>Atributy nemohou být změněny z implicitní na požadovaný.</w:t>
      </w:r>
    </w:p>
    <w:p>
      <w:pPr>
        <w:pStyle w:val="Textnormy"/>
        <w:numPr>
          <w:ilvl w:val="0"/>
          <w:numId w:val="3"/>
        </w:numPr>
        <w:rPr/>
      </w:pPr>
      <w:r>
        <w:rPr/>
        <w:t xml:space="preserve">Standardní hodnoty by neměly být obecně upravovány. </w:t>
      </w:r>
    </w:p>
    <w:p>
      <w:pPr>
        <w:pStyle w:val="Textnormy"/>
        <w:numPr>
          <w:ilvl w:val="0"/>
          <w:numId w:val="3"/>
        </w:numPr>
        <w:rPr/>
      </w:pPr>
      <w:r>
        <w:rPr/>
        <w:t>A „hodnota“ nemůže být odlišná od atributu „hodnoty“ seznam.</w:t>
      </w:r>
    </w:p>
    <w:p>
      <w:pPr>
        <w:pStyle w:val="Textnormy"/>
        <w:numPr>
          <w:ilvl w:val="0"/>
          <w:numId w:val="3"/>
        </w:numPr>
        <w:rPr/>
      </w:pPr>
      <w:r>
        <w:rPr/>
        <w:t>Požadovaná struktura dokumentu nemůže být měněna. Například „?“ se nemůže zaměnit za + a nové části není možné požadovat v zadání vnitřního již existující prvku. Jen „?“  a „*“ může být použito, když se mění struktura dokumentu.</w:t>
      </w:r>
    </w:p>
    <w:p>
      <w:pPr>
        <w:pStyle w:val="Textnormy"/>
        <w:numPr>
          <w:ilvl w:val="0"/>
          <w:numId w:val="3"/>
        </w:numPr>
        <w:rPr/>
      </w:pPr>
      <w:r>
        <w:rPr/>
        <w:t>#PCDATA nemohou být odlišná od prvků.</w:t>
      </w:r>
    </w:p>
    <w:p>
      <w:pPr>
        <w:pStyle w:val="Textnormy"/>
        <w:ind w:start="360" w:end="0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Textnormy"/>
        <w:spacing w:before="0" w:after="120"/>
        <w:ind w:start="360" w:end="0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sectPr>
      <w:footerReference w:type="default" r:id="rId4"/>
      <w:type w:val="nextPage"/>
      <w:pgSz w:w="11906" w:h="16838"/>
      <w:pgMar w:left="1417" w:right="1417" w:gutter="0" w:header="0" w:top="1417" w:footer="708" w:bottom="21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ee" w:characterSet="windows-1250"/>
    <w:family w:val="swiss"/>
    <w:pitch w:val="variable"/>
  </w:font>
  <w:font w:name="Wingdings">
    <w:charset w:val="02"/>
    <w:family w:val="auto"/>
    <w:pitch w:val="variable"/>
  </w:font>
  <w:font w:name="Wingdings 2">
    <w:charset w:val="02"/>
    <w:family w:val="roman"/>
    <w:pitch w:val="variable"/>
  </w:font>
  <w:font w:name="StarSymbol">
    <w:altName w:val="Arial Unicode MS"/>
    <w:charset w:val="ee" w:characterSet="windows-1250"/>
    <w:family w:val="auto"/>
    <w:pitch w:val="default"/>
  </w:font>
  <w:font w:name="Courier New">
    <w:charset w:val="ee" w:characterSet="windows-1250"/>
    <w:family w:val="modern"/>
    <w:pitch w:val="default"/>
  </w:font>
  <w:font w:name="Tahoma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ee" w:characterSet="windows-125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7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1120" cy="146050"/>
              <wp:effectExtent l="0" t="0" r="0" b="0"/>
              <wp:wrapSquare wrapText="bothSides"/>
              <wp:docPr id="3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120" cy="14605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4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6pt;height:11.5pt;mso-wrap-distance-left:0pt;mso-wrap-distance-right:0pt;mso-wrap-distance-top:0pt;mso-wrap-distance-bottom:0pt;margin-top:0.05pt;mso-position-vertical-relative:text;margin-left:224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4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"/>
      <w:lvlJc w:val="start"/>
      <w:pPr>
        <w:tabs>
          <w:tab w:val="num" w:pos="432"/>
        </w:tabs>
        <w:ind w:start="432" w:hanging="432"/>
      </w:pPr>
    </w:lvl>
    <w:lvl w:ilvl="1">
      <w:start w:val="1"/>
      <w:numFmt w:val="decimal"/>
      <w:lvlText w:val="%1.%2"/>
      <w:lvlJc w:val="start"/>
      <w:pPr>
        <w:tabs>
          <w:tab w:val="num" w:pos="576"/>
        </w:tabs>
        <w:ind w:start="576" w:hanging="576"/>
      </w:pPr>
    </w:lvl>
    <w:lvl w:ilvl="2">
      <w:start w:val="1"/>
      <w:numFmt w:val="decimal"/>
      <w:lvlText w:val="%1.%2.%3"/>
      <w:lvlJc w:val="start"/>
      <w:pPr>
        <w:tabs>
          <w:tab w:val="num" w:pos="720"/>
        </w:tabs>
        <w:ind w:start="720" w:hanging="720"/>
      </w:pPr>
    </w:lvl>
    <w:lvl w:ilvl="3">
      <w:start w:val="1"/>
      <w:numFmt w:val="decimal"/>
      <w:lvlText w:val="%1.%2.%3.%4"/>
      <w:lvlJc w:val="start"/>
      <w:pPr>
        <w:tabs>
          <w:tab w:val="num" w:pos="864"/>
        </w:tabs>
        <w:ind w:start="864" w:hanging="864"/>
      </w:pPr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decimal"/>
      <w:lvlText w:val="%1.%2.%3.%4.%5.%6.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20"/>
      <w:szCs w:val="20"/>
      <w:lang w:val="cs-CZ" w:bidi="ar-SA" w:eastAsia="zh-CN"/>
    </w:rPr>
  </w:style>
  <w:style w:type="paragraph" w:styleId="Heading1">
    <w:name w:val="heading 1"/>
    <w:basedOn w:val="Normal"/>
    <w:next w:val="BodyText"/>
    <w:qFormat/>
    <w:pPr>
      <w:keepNext w:val="true"/>
      <w:widowControl w:val="false"/>
      <w:numPr>
        <w:ilvl w:val="0"/>
        <w:numId w:val="1"/>
      </w:numPr>
      <w:suppressAutoHyphens w:val="true"/>
      <w:spacing w:before="240" w:after="120"/>
      <w:jc w:val="both"/>
      <w:outlineLvl w:val="0"/>
    </w:pPr>
    <w:rPr>
      <w:rFonts w:eastAsia="Lucida Sans Unicode" w:cs="Tahoma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spacing w:before="240" w:after="60"/>
      <w:outlineLvl w:val="2"/>
    </w:pPr>
    <w:rPr>
      <w:rFonts w:cs="Arial"/>
      <w:b/>
      <w:bCs/>
      <w:sz w:val="26"/>
      <w:szCs w:val="26"/>
    </w:rPr>
  </w:style>
  <w:style w:type="character" w:styleId="WW8Num2z0">
    <w:name w:val="WW8Num2z0"/>
    <w:qFormat/>
    <w:rPr>
      <w:rFonts w:ascii="Wingdings" w:hAnsi="Wingdings" w:cs="StarSymbol;Times New Roman"/>
      <w:sz w:val="18"/>
      <w:szCs w:val="18"/>
    </w:rPr>
  </w:style>
  <w:style w:type="character" w:styleId="WW8Num2z1">
    <w:name w:val="WW8Num2z1"/>
    <w:qFormat/>
    <w:rPr>
      <w:rFonts w:ascii="Wingdings 2" w:hAnsi="Wingdings 2" w:cs="StarSymbol;Times New Roman"/>
      <w:sz w:val="18"/>
      <w:szCs w:val="18"/>
    </w:rPr>
  </w:style>
  <w:style w:type="character" w:styleId="WW8Num2z2">
    <w:name w:val="WW8Num2z2"/>
    <w:qFormat/>
    <w:rPr>
      <w:rFonts w:ascii="StarSymbol;Times New Roman" w:hAnsi="StarSymbol;Times New Roman" w:cs="StarSymbol;Times New Roman"/>
      <w:sz w:val="18"/>
      <w:szCs w:val="18"/>
    </w:rPr>
  </w:style>
  <w:style w:type="character" w:styleId="WW8Num3z0">
    <w:name w:val="WW8Num3z0"/>
    <w:qFormat/>
    <w:rPr>
      <w:rFonts w:ascii="Wingdings" w:hAnsi="Wingdings" w:cs="StarSymbol;Times New Roman"/>
      <w:sz w:val="18"/>
      <w:szCs w:val="18"/>
    </w:rPr>
  </w:style>
  <w:style w:type="character" w:styleId="WW8Num3z1">
    <w:name w:val="WW8Num3z1"/>
    <w:qFormat/>
    <w:rPr>
      <w:rFonts w:ascii="Wingdings 2" w:hAnsi="Wingdings 2" w:cs="StarSymbol;Times New Roman"/>
      <w:sz w:val="18"/>
      <w:szCs w:val="18"/>
    </w:rPr>
  </w:style>
  <w:style w:type="character" w:styleId="WW8Num3z2">
    <w:name w:val="WW8Num3z2"/>
    <w:qFormat/>
    <w:rPr>
      <w:rFonts w:ascii="StarSymbol;Times New Roman" w:hAnsi="StarSymbol;Times New Roman" w:cs="StarSymbol;Times New Roman"/>
      <w:sz w:val="18"/>
      <w:szCs w:val="18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6z0">
    <w:name w:val="WW8Num6z0"/>
    <w:qFormat/>
    <w:rPr/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>
      <w:rFonts w:ascii="Wingdings" w:hAnsi="Wingdings" w:cs="StarSymbol;Times New Roman"/>
      <w:sz w:val="18"/>
      <w:szCs w:val="18"/>
    </w:rPr>
  </w:style>
  <w:style w:type="character" w:styleId="WW8Num9z1">
    <w:name w:val="WW8Num9z1"/>
    <w:qFormat/>
    <w:rPr>
      <w:rFonts w:ascii="Wingdings 2" w:hAnsi="Wingdings 2" w:cs="StarSymbol;Times New Roman"/>
      <w:sz w:val="18"/>
      <w:szCs w:val="18"/>
    </w:rPr>
  </w:style>
  <w:style w:type="character" w:styleId="WW8Num9z2">
    <w:name w:val="WW8Num9z2"/>
    <w:qFormat/>
    <w:rPr>
      <w:rFonts w:ascii="StarSymbol;Times New Roman" w:hAnsi="StarSymbol;Times New Roman" w:cs="StarSymbol;Times New Roman"/>
      <w:sz w:val="18"/>
      <w:szCs w:val="18"/>
    </w:rPr>
  </w:style>
  <w:style w:type="character" w:styleId="WW8Num10z0">
    <w:name w:val="WW8Num10z0"/>
    <w:qFormat/>
    <w:rPr>
      <w:rFonts w:ascii="Arial" w:hAnsi="Arial" w:cs="Arial"/>
      <w:sz w:val="18"/>
      <w:szCs w:val="18"/>
    </w:rPr>
  </w:style>
  <w:style w:type="character" w:styleId="WW8Num10z1">
    <w:name w:val="WW8Num10z1"/>
    <w:qFormat/>
    <w:rPr>
      <w:rFonts w:ascii="Wingdings 2" w:hAnsi="Wingdings 2" w:cs="StarSymbol;Times New Roman"/>
      <w:sz w:val="18"/>
      <w:szCs w:val="18"/>
    </w:rPr>
  </w:style>
  <w:style w:type="character" w:styleId="WW8Num10z2">
    <w:name w:val="WW8Num10z2"/>
    <w:qFormat/>
    <w:rPr>
      <w:rFonts w:ascii="StarSymbol;Times New Roman" w:hAnsi="StarSymbol;Times New Roman" w:cs="StarSymbol;Times New Roman"/>
      <w:sz w:val="18"/>
      <w:szCs w:val="18"/>
    </w:rPr>
  </w:style>
  <w:style w:type="character" w:styleId="WW8Num10z3">
    <w:name w:val="WW8Num10z3"/>
    <w:qFormat/>
    <w:rPr>
      <w:rFonts w:ascii="Wingdings" w:hAnsi="Wingdings" w:cs="StarSymbol;Times New Roman"/>
      <w:sz w:val="18"/>
      <w:szCs w:val="18"/>
    </w:rPr>
  </w:style>
  <w:style w:type="character" w:styleId="WW8Num11z0">
    <w:name w:val="WW8Num11z0"/>
    <w:qFormat/>
    <w:rPr>
      <w:rFonts w:ascii="Arial" w:hAnsi="Arial" w:cs="Arial"/>
      <w:sz w:val="18"/>
      <w:szCs w:val="18"/>
    </w:rPr>
  </w:style>
  <w:style w:type="character" w:styleId="WW8Num11z1">
    <w:name w:val="WW8Num11z1"/>
    <w:qFormat/>
    <w:rPr>
      <w:rFonts w:ascii="Wingdings 2" w:hAnsi="Wingdings 2" w:cs="StarSymbol;Times New Roman"/>
      <w:sz w:val="18"/>
      <w:szCs w:val="18"/>
    </w:rPr>
  </w:style>
  <w:style w:type="character" w:styleId="WW8Num11z2">
    <w:name w:val="WW8Num11z2"/>
    <w:qFormat/>
    <w:rPr>
      <w:rFonts w:ascii="StarSymbol;Times New Roman" w:hAnsi="StarSymbol;Times New Roman" w:cs="StarSymbol;Times New Roman"/>
      <w:sz w:val="18"/>
      <w:szCs w:val="18"/>
    </w:rPr>
  </w:style>
  <w:style w:type="character" w:styleId="WW8Num11z3">
    <w:name w:val="WW8Num11z3"/>
    <w:qFormat/>
    <w:rPr>
      <w:rFonts w:ascii="Wingdings" w:hAnsi="Wingdings" w:cs="StarSymbol;Times New Roman"/>
      <w:sz w:val="18"/>
      <w:szCs w:val="18"/>
    </w:rPr>
  </w:style>
  <w:style w:type="character" w:styleId="Standardnpsmoodstavce">
    <w:name w:val="Standardní písmo odstavce"/>
    <w:qFormat/>
    <w:rPr/>
  </w:style>
  <w:style w:type="character" w:styleId="TextnormyChar1">
    <w:name w:val="Text normy Char1"/>
    <w:basedOn w:val="Standardnpsmoodstavce"/>
    <w:qFormat/>
    <w:rPr>
      <w:rFonts w:ascii="Arial" w:hAnsi="Arial" w:cs="Arial"/>
      <w:lang w:val="cs-CZ" w:bidi="ar-SA"/>
    </w:rPr>
  </w:style>
  <w:style w:type="character" w:styleId="Hyperlink">
    <w:name w:val="Hyperlink"/>
    <w:rPr>
      <w:color w:val="000080"/>
      <w:u w:val="single"/>
    </w:rPr>
  </w:style>
  <w:style w:type="character" w:styleId="PageNumber">
    <w:name w:val="page number"/>
    <w:basedOn w:val="Standardnpsmoodstavce"/>
    <w:rPr/>
  </w:style>
  <w:style w:type="character" w:styleId="Odkaznakoment">
    <w:name w:val="Odkaz na komentář"/>
    <w:basedOn w:val="Standardnpsmoodstavce"/>
    <w:qFormat/>
    <w:rPr>
      <w:sz w:val="16"/>
      <w:szCs w:val="16"/>
    </w:rPr>
  </w:style>
  <w:style w:type="character" w:styleId="CharChar">
    <w:name w:val=" Char Char"/>
    <w:basedOn w:val="Standardnpsmoodstavce"/>
    <w:qFormat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Textnormy">
    <w:name w:val="Text normy"/>
    <w:qFormat/>
    <w:pPr>
      <w:widowControl/>
      <w:bidi w:val="0"/>
      <w:spacing w:before="0" w:after="120"/>
      <w:jc w:val="both"/>
    </w:pPr>
    <w:rPr>
      <w:rFonts w:ascii="Arial" w:hAnsi="Arial" w:eastAsia="Times New Roman" w:cs="Arial"/>
      <w:color w:val="auto"/>
      <w:sz w:val="20"/>
      <w:szCs w:val="20"/>
      <w:lang w:val="cs-CZ" w:bidi="ar-SA" w:eastAsia="zh-CN"/>
    </w:rPr>
  </w:style>
  <w:style w:type="paragraph" w:styleId="Nadpislnku">
    <w:name w:val="Nadpis článku"/>
    <w:basedOn w:val="Textnormy"/>
    <w:next w:val="Textnormy"/>
    <w:qFormat/>
    <w:pPr>
      <w:keepNext w:val="true"/>
      <w:keepLines/>
      <w:suppressAutoHyphens w:val="true"/>
      <w:spacing w:before="120" w:after="120"/>
      <w:jc w:val="start"/>
    </w:pPr>
    <w:rPr>
      <w:b/>
    </w:rPr>
  </w:style>
  <w:style w:type="paragraph" w:styleId="1StrTrZn">
    <w:name w:val="1StrTrZn"/>
    <w:basedOn w:val="Textnormy"/>
    <w:qFormat/>
    <w:pPr>
      <w:spacing w:lineRule="exact" w:line="340" w:before="80" w:after="80"/>
      <w:jc w:val="start"/>
    </w:pPr>
    <w:rPr>
      <w:sz w:val="28"/>
    </w:rPr>
  </w:style>
  <w:style w:type="paragraph" w:styleId="1StrNN-1-23">
    <w:name w:val="1StrNN-1-23"/>
    <w:basedOn w:val="Textnormy"/>
    <w:qFormat/>
    <w:pPr>
      <w:widowControl w:val="false"/>
      <w:suppressAutoHyphens w:val="true"/>
      <w:spacing w:lineRule="exact" w:line="340" w:before="640" w:after="0"/>
      <w:ind w:hanging="0" w:start="0" w:end="567"/>
      <w:jc w:val="start"/>
    </w:pPr>
    <w:rPr>
      <w:b/>
      <w:sz w:val="28"/>
    </w:rPr>
  </w:style>
  <w:style w:type="paragraph" w:styleId="Cizojazynnzev">
    <w:name w:val="Cizojazyčný název"/>
    <w:basedOn w:val="Textnormy"/>
    <w:qFormat/>
    <w:pPr>
      <w:widowControl w:val="false"/>
      <w:suppressAutoHyphens w:val="true"/>
      <w:jc w:val="start"/>
    </w:pPr>
    <w:rPr>
      <w:sz w:val="18"/>
    </w:rPr>
  </w:style>
  <w:style w:type="paragraph" w:styleId="Shodnost">
    <w:name w:val="Shodnost"/>
    <w:basedOn w:val="Textnormy"/>
    <w:next w:val="Textnormy"/>
    <w:qFormat/>
    <w:pPr>
      <w:keepNext w:val="true"/>
      <w:keepLines/>
      <w:tabs>
        <w:tab w:val="clear" w:pos="708"/>
        <w:tab w:val="right" w:pos="9923" w:leader="none"/>
      </w:tabs>
      <w:spacing w:before="240" w:after="360"/>
      <w:jc w:val="start"/>
    </w:pPr>
    <w:rPr>
      <w:sz w:val="28"/>
    </w:rPr>
  </w:style>
  <w:style w:type="paragraph" w:styleId="1Str1Rad">
    <w:name w:val="1Str1Rad"/>
    <w:basedOn w:val="Textnormy"/>
    <w:qFormat/>
    <w:pPr>
      <w:widowControl w:val="false"/>
      <w:tabs>
        <w:tab w:val="clear" w:pos="708"/>
        <w:tab w:val="left" w:pos="7371" w:leader="none"/>
        <w:tab w:val="right" w:pos="9866" w:leader="none"/>
      </w:tabs>
    </w:pPr>
    <w:rPr/>
  </w:style>
  <w:style w:type="paragraph" w:styleId="esknorma">
    <w:name w:val="Česká norma"/>
    <w:basedOn w:val="Textnormy"/>
    <w:next w:val="1Str1Rad"/>
    <w:qFormat/>
    <w:pPr>
      <w:spacing w:before="0" w:after="0"/>
      <w:jc w:val="start"/>
    </w:pPr>
    <w:rPr>
      <w:sz w:val="28"/>
    </w:rPr>
  </w:style>
  <w:style w:type="paragraph" w:styleId="1StrCN">
    <w:name w:val="1StrCN"/>
    <w:basedOn w:val="Textnormy"/>
    <w:next w:val="1StrTrZn"/>
    <w:qFormat/>
    <w:pPr>
      <w:spacing w:lineRule="exact" w:line="340" w:before="180" w:after="0"/>
      <w:jc w:val="start"/>
    </w:pPr>
    <w:rPr>
      <w:b/>
      <w:sz w:val="32"/>
      <w:lang w:val="en-US" w:eastAsia="en-US"/>
    </w:rPr>
  </w:style>
  <w:style w:type="paragraph" w:styleId="Tabulka">
    <w:name w:val="Tabulka"/>
    <w:basedOn w:val="Normal"/>
    <w:qFormat/>
    <w:pPr>
      <w:widowControl w:val="false"/>
      <w:suppressLineNumbers/>
      <w:suppressAutoHyphens w:val="true"/>
      <w:spacing w:before="120" w:after="120"/>
      <w:jc w:val="both"/>
    </w:pPr>
    <w:rPr>
      <w:rFonts w:ascii="Times New Roman" w:hAnsi="Times New Roman" w:eastAsia="Lucida Sans Unicode" w:cs="Tahoma"/>
      <w:i/>
      <w:iCs/>
      <w:kern w:val="2"/>
      <w:sz w:val="24"/>
      <w:szCs w:val="24"/>
    </w:rPr>
  </w:style>
  <w:style w:type="paragraph" w:styleId="Texttabulky">
    <w:name w:val="Text tabulky"/>
    <w:basedOn w:val="Textnormy"/>
    <w:qFormat/>
    <w:pPr>
      <w:suppressAutoHyphens w:val="true"/>
      <w:spacing w:before="60" w:after="60"/>
      <w:jc w:val="start"/>
    </w:pPr>
    <w:rPr>
      <w:rFonts w:eastAsia="Arial"/>
      <w:kern w:val="2"/>
      <w:sz w:val="18"/>
    </w:rPr>
  </w:style>
  <w:style w:type="paragraph" w:styleId="Ilustrace">
    <w:name w:val="Ilustrace"/>
    <w:basedOn w:val="Normal"/>
    <w:qFormat/>
    <w:pPr>
      <w:widowControl w:val="false"/>
      <w:suppressLineNumbers/>
      <w:suppressAutoHyphens w:val="true"/>
      <w:spacing w:before="120" w:after="120"/>
      <w:jc w:val="both"/>
    </w:pPr>
    <w:rPr>
      <w:rFonts w:ascii="Times New Roman" w:hAnsi="Times New Roman" w:eastAsia="Lucida Sans Unicode" w:cs="Tahoma"/>
      <w:i/>
      <w:iCs/>
      <w:kern w:val="2"/>
      <w:sz w:val="24"/>
      <w:szCs w:val="24"/>
    </w:rPr>
  </w:style>
  <w:style w:type="paragraph" w:styleId="NadpisTabObr">
    <w:name w:val="NadpisTabObr"/>
    <w:basedOn w:val="Nadpislnku"/>
    <w:next w:val="Textnormy"/>
    <w:qFormat/>
    <w:pPr>
      <w:keepNext w:val="false"/>
      <w:jc w:val="center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Textnormy"/>
    <w:pPr/>
    <w:rPr>
      <w:sz w:val="18"/>
    </w:rPr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DodatekN2">
    <w:name w:val="Dodatek N2"/>
    <w:basedOn w:val="Heading2"/>
    <w:qFormat/>
    <w:pPr>
      <w:widowControl w:val="false"/>
      <w:numPr>
        <w:ilvl w:val="0"/>
        <w:numId w:val="2"/>
      </w:numPr>
      <w:suppressAutoHyphens w:val="true"/>
      <w:jc w:val="both"/>
    </w:pPr>
    <w:rPr>
      <w:rFonts w:eastAsia="Lucida Sans Unicode"/>
      <w:kern w:val="2"/>
    </w:rPr>
  </w:style>
  <w:style w:type="paragraph" w:styleId="Textkomente">
    <w:name w:val="Text komentáře"/>
    <w:basedOn w:val="Normal"/>
    <w:qFormat/>
    <w:pPr/>
    <w:rPr/>
  </w:style>
  <w:style w:type="paragraph" w:styleId="Pedmtkomente">
    <w:name w:val="Předmět komentáře"/>
    <w:basedOn w:val="Textkomente"/>
    <w:next w:val="Textkomente"/>
    <w:qFormat/>
    <w:pPr/>
    <w:rPr>
      <w:b/>
      <w:bCs/>
    </w:rPr>
  </w:style>
  <w:style w:type="paragraph" w:styleId="Textbubliny">
    <w:name w:val="Text bubliny"/>
    <w:basedOn w:val="Normal"/>
    <w:qFormat/>
    <w:pPr/>
    <w:rPr>
      <w:rFonts w:ascii="Tahoma" w:hAnsi="Tahoma" w:cs="Tahoma"/>
      <w:sz w:val="16"/>
      <w:szCs w:val="16"/>
    </w:rPr>
  </w:style>
  <w:style w:type="paragraph" w:styleId="Rozvrendokumentu">
    <w:name w:val="Rozvržení dokumentu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emf"/><Relationship Id="rId3" Type="http://schemas.openxmlformats.org/officeDocument/2006/relationships/image" Target="media/image2.emf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23</TotalTime>
  <Application>LibreOffice/26.2.6.3$Linux_X86_64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2009-10-29T20:51:00Z</dcterms:created>
  <dc:creator>David Bárta</dc:creator>
  <dc:description/>
  <cp:keywords/>
  <dc:language>en-US</dc:language>
  <cp:lastModifiedBy>barta</cp:lastModifiedBy>
  <cp:lastPrinted>2009-03-02T10:48:00Z</cp:lastPrinted>
  <dcterms:modified xsi:type="dcterms:W3CDTF">2009-11-07T11:13:00Z</dcterms:modified>
  <cp:revision>4</cp:revision>
  <dc:subject/>
  <dc:title>ČESKÁ TECHNICKÁ NORMA</dc:title>
</cp:coreProperties>
</file>