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emf" ContentType="image/x-emf"/>
  <Override PartName="/word/media/image3.emf" ContentType="image/x-emf"/>
  <Override PartName="/word/media/image1.emf" ContentType="image/x-emf"/>
  <Override PartName="/word/media/image4.emf" ContentType="image/x-emf"/>
  <Override PartName="/word/media/image5.emf" ContentType="image/x-em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numPr>
          <w:ilvl w:val="0"/>
          <w:numId w:val="0"/>
        </w:numPr>
        <w:outlineLvl w:val="0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ICS 35.240.60;03.220.20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a cestovní informace (TTI) – TTI předávané rozšířitelným označovacím jazykem (XML) – Expertní skupiny protokolů pro dopravu (TPEG) – Část 2: tpeg-locML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ČSN P</w:t>
              <w:br/>
              <w:t>CEN ISO TS 24530-2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01 8257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1.1.2007</w:t>
        <w:tab/>
        <w:t>40 stran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norma je 2. částí souboru norem věnující se standardizaci protokolu pro dopravu TPEG. Detailně popisuje požadavky na odkazy polohy uživatele a jeho místa nalezení pomocí protokolu TPEG popsaném v jazyce XML pomocí aplikace tpeg-locML. Z podstaty tpeg - locML poskytuje zprávy, resp. data polohy pro navigační systémy a určuje a zobrazuje v mapě polohu vozidla za jízdy. Je možné také použití dalších metod pro určení polohy, jako je „link-id“ vhodné pro modifikaci tpegML.dtd., například: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410710" cy="4572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50" r="-5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highlight w:val="yellow"/>
        </w:rPr>
      </w:pPr>
      <w:r>
        <w:rPr/>
        <w:t>Součástí normy jsou dvě přílohy, jejichž příklad je uveden v závěru extraktu. Příloha A obsahuje normativ DTD pro tpeg-locML. Příloha B obsahuje normativ pro tpeg-locML.ent.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  <w:highlight w:val="yellow"/>
        </w:rPr>
      </w:pPr>
      <w:r>
        <w:rPr/>
        <w:t>TPEG aplikace byly prvotně vytvořeny za účelem poskytování dopravních informací tak, aby bylo umožněno jejich kódování, dekódování, filtrování a následná interpretace jak vizuální, tak hlasová. Původní technologie TPEG využívá bitový formát popisované v XML. Vývoj této původní binární technologie TPEG byl určen především pro přenos prostřednictvím digitálního rádia (DAB) a případně internetem s přenosovou rychlostí do 10 kbit/s.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Související normy</w:t>
      </w:r>
    </w:p>
    <w:p>
      <w:pPr>
        <w:pStyle w:val="Textnormy"/>
        <w:rPr/>
      </w:pPr>
      <w:r>
        <w:rPr/>
        <w:t>Čtenářům se doporučuje seznámit se s technickými specifikacemi ISO/TS 24530-1, ISO/TS 24530-3, ISO/TS 24530-4, případně s dalšími publikovanými pracemi na téma TPEG. Vhodnými specifikacemi jsou i ISO/TS 18234-1, ISO/TS 18234-2 a ISO/TS 18234-6.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 Zkratky </w:t>
      </w:r>
    </w:p>
    <w:p>
      <w:pPr>
        <w:pStyle w:val="Textnormy"/>
        <w:rPr/>
      </w:pPr>
      <w:r>
        <w:rPr/>
        <w:t>Norma pracuje zejména s těmito zkratkami: ARIB, ATSC, DAB, DTD, DVB, EBU, IPR, PTI, RTM, SSF, TPEG, tpegML, tpeg-loc, tpeg-ilc, TTI, WGS84, XML.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4 Formát technické specifikace</w:t>
      </w:r>
    </w:p>
    <w:p>
      <w:pPr>
        <w:pStyle w:val="Textnormy"/>
        <w:rPr/>
      </w:pPr>
      <w:r>
        <w:rPr/>
        <w:t xml:space="preserve">Každá kapitola normy popisuje použití tpegML v XML. Každá má své představení a vysvětlení, co obsahuje a co popisuje, stanovuje příslušnou typovou definici dokumentu (DTD) a uvádí příklad. Úplný seznam DTD souborů je uveden v přílohách A a B. </w:t>
      </w:r>
    </w:p>
    <w:p>
      <w:pPr>
        <w:pStyle w:val="Textnormy"/>
        <w:rPr/>
      </w:pPr>
      <w:r>
        <w:rPr/>
        <w:t xml:space="preserve">Seznamy atributů jednotlivých prvků používaných v tpegML najdeme v tabulkách specifikací TPEG. V XML struktuře jsou jednotlivé vstupy kódovány. Atributy prvků v této technické specifikaci jsou převzaté z příslušné části CEN ISO/TS 18234. </w:t>
      </w:r>
    </w:p>
    <w:p>
      <w:pPr>
        <w:pStyle w:val="Textnormy"/>
        <w:rPr/>
      </w:pPr>
      <w:r>
        <w:rPr/>
        <w:t>Pro kódování prvků je používán formát rtmX_Y, kde X vyjadřuje číslo tabulky a Y číslo řádku v dané tabulce (například rtm01_1).</w:t>
      </w:r>
    </w:p>
    <w:p>
      <w:pPr>
        <w:pStyle w:val="Textnormy"/>
        <w:rPr/>
      </w:pPr>
      <w:r>
        <w:rPr/>
        <w:t>V kapitole je uveden příklad kódu napsaného v jazyce XML pro uzavírku na pozemní komunikaci z důvodu nehody na A12 a na následné přesměrování na objízdnou trasu.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5 tpeg-locML</w:t>
      </w:r>
    </w:p>
    <w:p>
      <w:pPr>
        <w:pStyle w:val="Textnormy"/>
        <w:rPr/>
      </w:pPr>
      <w:r>
        <w:rPr/>
        <w:t>Kapitola definuje pojmy a zápisy souboru tpegML.dtd a tpeg-locML.ent pro jazyk XML. Příklady jsou uvedeny v příloze A a B.</w:t>
      </w:r>
    </w:p>
    <w:p>
      <w:pPr>
        <w:pStyle w:val="Textnormy"/>
        <w:rPr/>
      </w:pPr>
      <w:r>
        <w:rPr/>
        <w:t xml:space="preserve">Kapitola popisuje jednotlivé hodnoty a možnosti přenosu, polohu, druh dopravního prostředku (viz příklad níže), popisu polohy, jazyk, směr, reference k oblasti, typ oblasti, síťový popis a další. </w:t>
      </w:r>
    </w:p>
    <w:p>
      <w:pPr>
        <w:pStyle w:val="Textnormy"/>
        <w:rPr/>
      </w:pPr>
      <w:r>
        <w:rPr/>
        <w:t>Příkladem druhu dopravy:</w:t>
      </w:r>
    </w:p>
    <w:p>
      <w:pPr>
        <w:pStyle w:val="Textnormy"/>
        <w:rPr/>
      </w:pPr>
      <w:r>
        <w:rPr/>
        <w:drawing>
          <wp:inline distT="0" distB="0" distL="0" distR="0">
            <wp:extent cx="3432175" cy="36125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numPr>
          <w:ilvl w:val="0"/>
          <w:numId w:val="0"/>
        </w:numPr>
        <w:outlineLvl w:val="0"/>
        <w:rPr/>
      </w:pPr>
      <w:r>
        <w:rPr/>
        <w:t>Síťová vrstva používá objekty reference ve tvaru tabulky č.1</w:t>
      </w:r>
    </w:p>
    <w:p>
      <w:pPr>
        <w:pStyle w:val="Textnormy"/>
        <w:rPr>
          <w:b/>
        </w:rPr>
      </w:pPr>
      <w:r>
        <w:rPr>
          <w:b/>
        </w:rPr>
        <w:drawing>
          <wp:inline distT="0" distB="0" distL="0" distR="0">
            <wp:extent cx="2700655" cy="21177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9" r="-7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11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A (normativní) </w:t>
        <w:tab/>
        <w:br/>
        <w:t>DTD pro tpeg-locML – TPEG odkaz na polohu v aplikaci (tpeg-locML.dtd)</w:t>
      </w:r>
    </w:p>
    <w:p>
      <w:pPr>
        <w:pStyle w:val="Textnormy"/>
        <w:rPr/>
      </w:pPr>
      <w:r>
        <w:rPr/>
        <w:t>Příklad zápisu jednotlivých prvků v části vzorové struktury XML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drawing>
          <wp:inline distT="0" distB="0" distL="0" distR="0">
            <wp:extent cx="4297045" cy="21056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210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B (normativní) </w:t>
        <w:tab/>
        <w:br/>
        <w:t>Reference externích prvků DTD pro tpeg-locML – TPEG odkaz na polohu v aplikaci (tpeg-locML.ent)</w:t>
      </w:r>
    </w:p>
    <w:p>
      <w:pPr>
        <w:pStyle w:val="Textnormy"/>
        <w:rPr/>
      </w:pPr>
      <w:r>
        <w:rPr/>
        <w:t>Příklad zápisu jednotlivých prvků v části vzorové struktury XML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drawing>
          <wp:inline distT="0" distB="0" distL="0" distR="0">
            <wp:extent cx="3929380" cy="482219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spacing w:before="0" w:after="12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sectPr>
      <w:footerReference w:type="default" r:id="rId7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StarSymbol;Times New Roman"/>
      <w:sz w:val="18"/>
      <w:szCs w:val="18"/>
    </w:rPr>
  </w:style>
  <w:style w:type="character" w:styleId="WW8Num6z1">
    <w:name w:val="WW8Num6z1"/>
    <w:qFormat/>
    <w:rPr>
      <w:rFonts w:ascii="Wingdings 2" w:hAnsi="Wingdings 2" w:cs="StarSymbol;Times New Roman"/>
      <w:sz w:val="18"/>
      <w:szCs w:val="18"/>
    </w:rPr>
  </w:style>
  <w:style w:type="character" w:styleId="WW8Num6z2">
    <w:name w:val="WW8Num6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7z0">
    <w:name w:val="WW8Num7z0"/>
    <w:qFormat/>
    <w:rPr>
      <w:rFonts w:ascii="Arial" w:hAnsi="Arial" w:cs="Arial"/>
      <w:sz w:val="18"/>
      <w:szCs w:val="18"/>
    </w:rPr>
  </w:style>
  <w:style w:type="character" w:styleId="WW8Num7z1">
    <w:name w:val="WW8Num7z1"/>
    <w:qFormat/>
    <w:rPr>
      <w:rFonts w:ascii="Wingdings 2" w:hAnsi="Wingdings 2" w:cs="StarSymbol;Times New Roman"/>
      <w:sz w:val="18"/>
      <w:szCs w:val="18"/>
    </w:rPr>
  </w:style>
  <w:style w:type="character" w:styleId="WW8Num7z2">
    <w:name w:val="WW8Num7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7z3">
    <w:name w:val="WW8Num7z3"/>
    <w:qFormat/>
    <w:rPr>
      <w:rFonts w:ascii="Wingdings" w:hAnsi="Wingdings" w:cs="StarSymbol;Times New Roman"/>
      <w:sz w:val="18"/>
      <w:szCs w:val="18"/>
    </w:rPr>
  </w:style>
  <w:style w:type="character" w:styleId="WW8Num8z0">
    <w:name w:val="WW8Num8z0"/>
    <w:qFormat/>
    <w:rPr>
      <w:rFonts w:ascii="Arial" w:hAnsi="Arial" w:cs="Arial"/>
      <w:sz w:val="18"/>
      <w:szCs w:val="18"/>
    </w:rPr>
  </w:style>
  <w:style w:type="character" w:styleId="WW8Num8z1">
    <w:name w:val="WW8Num8z1"/>
    <w:qFormat/>
    <w:rPr>
      <w:rFonts w:ascii="Wingdings 2" w:hAnsi="Wingdings 2" w:cs="StarSymbol;Times New Roman"/>
      <w:sz w:val="18"/>
      <w:szCs w:val="18"/>
    </w:rPr>
  </w:style>
  <w:style w:type="character" w:styleId="WW8Num8z2">
    <w:name w:val="WW8Num8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8z3">
    <w:name w:val="WW8Num8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CharChar3">
    <w:name w:val=" Char Char3"/>
    <w:basedOn w:val="Standardnpsmoodstavce"/>
    <w:qFormat/>
    <w:rPr>
      <w:rFonts w:ascii="Tahoma" w:hAnsi="Tahoma" w:cs="Tahoma"/>
      <w:sz w:val="16"/>
      <w:szCs w:val="16"/>
    </w:rPr>
  </w:style>
  <w:style w:type="character" w:styleId="CharChar2">
    <w:name w:val=" Char Char2"/>
    <w:basedOn w:val="Standardnpsmoodstavce"/>
    <w:qFormat/>
    <w:rPr>
      <w:rFonts w:ascii="Tahoma" w:hAnsi="Tahoma" w:cs="Tahoma"/>
      <w:sz w:val="16"/>
      <w:szCs w:val="16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CharChar1">
    <w:name w:val=" Char Char1"/>
    <w:basedOn w:val="Standardnpsmoodstavce"/>
    <w:qFormat/>
    <w:rPr>
      <w:rFonts w:ascii="Arial" w:hAnsi="Arial" w:cs="Arial"/>
    </w:rPr>
  </w:style>
  <w:style w:type="character" w:styleId="CharChar">
    <w:name w:val=" Char Char"/>
    <w:basedOn w:val="CharChar1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odatekN2">
    <w:name w:val="Dodatek N2"/>
    <w:basedOn w:val="Heading2"/>
    <w:qFormat/>
    <w:pPr>
      <w:widowControl w:val="false"/>
      <w:numPr>
        <w:ilvl w:val="0"/>
        <w:numId w:val="2"/>
      </w:numPr>
      <w:suppressAutoHyphens w:val="true"/>
      <w:jc w:val="both"/>
    </w:pPr>
    <w:rPr>
      <w:rFonts w:eastAsia="Lucida Sans Unicode"/>
      <w:kern w:val="2"/>
    </w:rPr>
  </w:style>
  <w:style w:type="paragraph" w:styleId="Rozvrendokumentu">
    <w:name w:val="Rozvržení dokumentu"/>
    <w:basedOn w:val="Normal"/>
    <w:qFormat/>
    <w:pPr/>
    <w:rPr>
      <w:rFonts w:ascii="Tahoma" w:hAnsi="Tahoma" w:cs="Tahoma"/>
      <w:sz w:val="16"/>
      <w:szCs w:val="16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image" Target="media/image4.emf"/><Relationship Id="rId6" Type="http://schemas.openxmlformats.org/officeDocument/2006/relationships/image" Target="media/image5.emf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2009-10-29T21:11:00Z</dcterms:created>
  <dc:creator>David Bárta</dc:creator>
  <dc:description/>
  <cp:keywords/>
  <dc:language>en-US</dc:language>
  <cp:lastModifiedBy>barta</cp:lastModifiedBy>
  <cp:lastPrinted>2008-08-26T00:25:00Z</cp:lastPrinted>
  <dcterms:modified xsi:type="dcterms:W3CDTF">2009-11-07T11:10:00Z</dcterms:modified>
  <cp:revision>5</cp:revision>
  <dc:subject/>
  <dc:title>ČESKÁ TECHNICKÁ NORMA</dc:title>
</cp:coreProperties>
</file>