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0"/>
          <w:tab w:val="right" w:leader="none" w:pos="9923"/>
        </w:tabs>
        <w:spacing w:after="60" w:lineRule="auto"/>
        <w:ind w:left="2" w:hanging="4"/>
        <w:jc w:val="center"/>
        <w:rPr>
          <w:b w:val="1"/>
          <w:color w:val="000000"/>
          <w:sz w:val="40"/>
          <w:szCs w:val="40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000000"/>
          <w:sz w:val="40"/>
          <w:szCs w:val="40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posOffset>0</wp:posOffset>
            </wp:positionH>
            <wp:positionV relativeFrom="topMargin">
              <wp:posOffset>-449575</wp:posOffset>
            </wp:positionV>
            <wp:extent cx="75565" cy="151765"/>
            <wp:effectExtent b="0" l="0" r="0" t="0"/>
            <wp:wrapSquare wrapText="bothSides" distB="0" distT="0" distL="114300" distR="114300"/>
            <wp:docPr id="10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" cy="151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color w:val="000000"/>
          <w:sz w:val="40"/>
          <w:szCs w:val="40"/>
          <w:rtl w:val="0"/>
        </w:rPr>
        <w:t xml:space="preserve">EXTRAKT z technické specifikace ISO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rPr>
          <w:color w:val="000000"/>
          <w:sz w:val="16"/>
          <w:szCs w:val="16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color w:val="000000"/>
          <w:rtl w:val="0"/>
        </w:rPr>
        <w:t xml:space="preserve">Extrakt nenahrazuje samotnou technickou normu, je pouze informativním materiálem o normě.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131.0" w:type="dxa"/>
        <w:tblLayout w:type="fixed"/>
        <w:tblLook w:val="0000"/>
      </w:tblPr>
      <w:tblGrid>
        <w:gridCol w:w="6764"/>
        <w:gridCol w:w="2266"/>
        <w:tblGridChange w:id="0">
          <w:tblGrid>
            <w:gridCol w:w="6764"/>
            <w:gridCol w:w="2266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80" w:before="180" w:line="340" w:lineRule="auto"/>
              <w:ind w:left="1" w:right="567" w:hanging="3"/>
              <w:jc w:val="left"/>
              <w:rPr>
                <w:b w:val="1"/>
                <w:color w:val="000000"/>
                <w:sz w:val="28"/>
                <w:szCs w:val="28"/>
              </w:rPr>
            </w:pPr>
            <w:bookmarkStart w:colFirst="0" w:colLast="0" w:name="_heading=h.b7ixhhvdct0t" w:id="2"/>
            <w:bookmarkEnd w:id="2"/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Inteligentní dopravní systémy –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Slovník grafických dat – Část 2: Příklady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80" w:lineRule="auto"/>
              <w:ind w:left="1" w:hanging="3"/>
              <w:jc w:val="right"/>
              <w:rPr/>
            </w:pPr>
            <w:r w:rsidDel="00000000" w:rsidR="00000000" w:rsidRPr="00000000">
              <w:rPr>
                <w:b w:val="1"/>
                <w:color w:val="000000"/>
                <w:sz w:val="32"/>
                <w:szCs w:val="32"/>
                <w:rtl w:val="0"/>
              </w:rPr>
              <w:tab/>
              <w:t xml:space="preserve">ISO/</w:t>
            </w:r>
            <w:r w:rsidDel="00000000" w:rsidR="00000000" w:rsidRPr="00000000">
              <w:rPr>
                <w:b w:val="1"/>
                <w:color w:val="000000"/>
                <w:sz w:val="32"/>
                <w:szCs w:val="32"/>
                <w:rtl w:val="0"/>
              </w:rPr>
              <w:t xml:space="preserve">TR</w:t>
            </w:r>
            <w:r w:rsidDel="00000000" w:rsidR="00000000" w:rsidRPr="00000000">
              <w:rPr>
                <w:b w:val="1"/>
                <w:color w:val="000000"/>
                <w:sz w:val="32"/>
                <w:szCs w:val="32"/>
                <w:rtl w:val="0"/>
              </w:rPr>
              <w:t xml:space="preserve"> 14823-2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80" w:lineRule="auto"/>
              <w:ind w:left="1" w:hanging="3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before="240" w:lineRule="auto"/>
        <w:ind w:left="1" w:hanging="3"/>
        <w:jc w:val="right"/>
        <w:rPr>
          <w:color w:val="000000"/>
        </w:rPr>
      </w:pPr>
      <w:bookmarkStart w:colFirst="0" w:colLast="0" w:name="_heading=h.1fob9te" w:id="3"/>
      <w:bookmarkEnd w:id="3"/>
      <w:r w:rsidDel="00000000" w:rsidR="00000000" w:rsidRPr="00000000">
        <w:rPr>
          <w:color w:val="000000"/>
          <w:sz w:val="28"/>
          <w:szCs w:val="28"/>
          <w:rtl w:val="0"/>
        </w:rPr>
        <w:t xml:space="preserve">Vydána 2019, 26 stran</w:t>
      </w:r>
      <w:r w:rsidDel="00000000" w:rsidR="00000000" w:rsidRPr="00000000">
        <w:rPr>
          <w:sz w:val="28"/>
          <w:szCs w:val="28"/>
          <w:rtl w:val="0"/>
        </w:rPr>
        <w:t xml:space="preserve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ind w:left="0" w:hanging="2"/>
        <w:rPr/>
      </w:pPr>
      <w:bookmarkStart w:colFirst="0" w:colLast="0" w:name="_heading=h.k2jf97lkp7ge" w:id="4"/>
      <w:bookmarkEnd w:id="4"/>
      <w:r w:rsidDel="00000000" w:rsidR="00000000" w:rsidRPr="00000000">
        <w:rPr>
          <w:rtl w:val="0"/>
        </w:rPr>
        <w:t xml:space="preserve">Úvod</w:t>
      </w:r>
    </w:p>
    <w:p w:rsidR="00000000" w:rsidDel="00000000" w:rsidP="00000000" w:rsidRDefault="00000000" w:rsidRPr="00000000" w14:paraId="00000008">
      <w:pPr>
        <w:ind w:left="0" w:hanging="2"/>
        <w:rPr/>
      </w:pPr>
      <w:bookmarkStart w:colFirst="0" w:colLast="0" w:name="_heading=h.2et92p0" w:id="5"/>
      <w:bookmarkEnd w:id="5"/>
      <w:r w:rsidDel="00000000" w:rsidR="00000000" w:rsidRPr="00000000">
        <w:rPr>
          <w:rtl w:val="0"/>
        </w:rPr>
        <w:t xml:space="preserve">Tuto technickou zprávu doplňuje EN ISO 14823-1, která stanovuje formát a protokol pro slovník grafických dat (GDD) umožňující jazykově nezávislou reprezentaci a interpretaci dopravních značek a piktogramů. Tento slovník je používaný při výměně informací mezi centry (DATEX II) a mezi infrastrukturou a vozidly (kooperativní systémy, C-ITS) pro popis dopravního značení zobrazeného například na proměnném dopravním značení.</w:t>
      </w:r>
    </w:p>
    <w:p w:rsidR="00000000" w:rsidDel="00000000" w:rsidP="00000000" w:rsidRDefault="00000000" w:rsidRPr="00000000" w14:paraId="00000009">
      <w:pPr>
        <w:ind w:left="0" w:hanging="2"/>
        <w:rPr/>
      </w:pPr>
      <w:r w:rsidDel="00000000" w:rsidR="00000000" w:rsidRPr="00000000">
        <w:rPr>
          <w:rtl w:val="0"/>
        </w:rPr>
        <w:t xml:space="preserve">Tento extrakt (dále jen “popisovaný dokument”) popisuje část 2 normy GDD s příklady použití.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40" w:line="240" w:lineRule="auto"/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3znysh7" w:id="6"/>
      <w:bookmarkEnd w:id="6"/>
      <w:r w:rsidDel="00000000" w:rsidR="00000000" w:rsidRPr="00000000">
        <w:rPr>
          <w:i w:val="1"/>
          <w:color w:val="000000"/>
          <w:sz w:val="18"/>
          <w:szCs w:val="18"/>
          <w:rtl w:val="0"/>
        </w:rPr>
        <w:t xml:space="preserve">Poznámka: Extrakt uvádí vybrané kapitoly popisovaného dokumentu a přejímá původní číslování kapitol.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left="0" w:hanging="2"/>
        <w:rPr/>
      </w:pPr>
      <w:bookmarkStart w:colFirst="0" w:colLast="0" w:name="_heading=h.p5uplw5j229a" w:id="7"/>
      <w:bookmarkEnd w:id="7"/>
      <w:r w:rsidDel="00000000" w:rsidR="00000000" w:rsidRPr="00000000">
        <w:rPr>
          <w:rtl w:val="0"/>
        </w:rPr>
        <w:t xml:space="preserve">Užití</w:t>
      </w:r>
    </w:p>
    <w:p w:rsidR="00000000" w:rsidDel="00000000" w:rsidP="00000000" w:rsidRDefault="00000000" w:rsidRPr="00000000" w14:paraId="0000000C">
      <w:pPr>
        <w:ind w:left="0" w:hanging="2"/>
        <w:rPr/>
      </w:pPr>
      <w:r w:rsidDel="00000000" w:rsidR="00000000" w:rsidRPr="00000000">
        <w:rPr>
          <w:rtl w:val="0"/>
        </w:rPr>
        <w:t xml:space="preserve">Popisovaný dokument uvádí praktické příklady kódování různých dopravních značek. Popisovaný dokument použijí analytici a </w:t>
      </w:r>
      <w:r w:rsidDel="00000000" w:rsidR="00000000" w:rsidRPr="00000000">
        <w:rPr>
          <w:rtl w:val="0"/>
        </w:rPr>
        <w:t xml:space="preserve">vývojáři výrob</w:t>
      </w:r>
      <w:r w:rsidDel="00000000" w:rsidR="00000000" w:rsidRPr="00000000">
        <w:rPr>
          <w:rtl w:val="0"/>
        </w:rPr>
        <w:t xml:space="preserve">ců</w:t>
      </w:r>
      <w:r w:rsidDel="00000000" w:rsidR="00000000" w:rsidRPr="00000000">
        <w:rPr>
          <w:rtl w:val="0"/>
        </w:rPr>
        <w:t xml:space="preserve"> automobilů, </w:t>
      </w:r>
      <w:r w:rsidDel="00000000" w:rsidR="00000000" w:rsidRPr="00000000">
        <w:rPr>
          <w:rtl w:val="0"/>
        </w:rPr>
        <w:t xml:space="preserve">poskytovatelů služby a výrobců koncových uživatelských zařízení (aplikace) při návrhu a vývoji systému pro zakódování, přenos a interpretaci a informace obsažené na dopravní značce. Slovník grafických dat je použit C-ITS a DATEX II.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ind w:left="0" w:hanging="2"/>
        <w:rPr/>
      </w:pPr>
      <w:bookmarkStart w:colFirst="0" w:colLast="0" w:name="_heading=h.8kdf5wup1at0" w:id="8"/>
      <w:bookmarkEnd w:id="8"/>
      <w:r w:rsidDel="00000000" w:rsidR="00000000" w:rsidRPr="00000000">
        <w:rPr>
          <w:rtl w:val="0"/>
        </w:rPr>
        <w:t xml:space="preserve">Souvisící </w:t>
      </w:r>
      <w:r w:rsidDel="00000000" w:rsidR="00000000" w:rsidRPr="00000000">
        <w:rPr>
          <w:rtl w:val="0"/>
        </w:rPr>
        <w:t xml:space="preserve">normy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hanging="2"/>
        <w:rPr/>
      </w:pPr>
      <w:r w:rsidDel="00000000" w:rsidR="00000000" w:rsidRPr="00000000">
        <w:rPr>
          <w:rtl w:val="0"/>
        </w:rPr>
        <w:t xml:space="preserve">Popisovaný dokument uvádí 3 normativní odkazy na normy ISO 3166-1 (Kódy zemí), ISO 8601 (Datová reprezentace času), ISO 8824-1 (Specifikace zápisu ASN.1). Dále jsou v textu zmíněny normy ISO 14823-1 (Struktura a kódovací pravidla pro GDD) a ISO 14813-6 (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Prezentace dat v </w:t>
      </w:r>
      <w:r w:rsidDel="00000000" w:rsidR="00000000" w:rsidRPr="00000000">
        <w:rPr>
          <w:rtl w:val="0"/>
        </w:rPr>
        <w:t xml:space="preserve">ASN.1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pStyle w:val="Heading1"/>
        <w:ind w:left="0" w:hanging="2"/>
        <w:rPr/>
      </w:pPr>
      <w:bookmarkStart w:colFirst="0" w:colLast="0" w:name="_heading=h.exlj16mcv1lp" w:id="9"/>
      <w:bookmarkEnd w:id="9"/>
      <w:r w:rsidDel="00000000" w:rsidR="00000000" w:rsidRPr="00000000">
        <w:rPr>
          <w:rtl w:val="0"/>
        </w:rPr>
        <w:t xml:space="preserve">1 Předmět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hanging="2"/>
        <w:rPr/>
      </w:pPr>
      <w:r w:rsidDel="00000000" w:rsidR="00000000" w:rsidRPr="00000000">
        <w:rPr>
          <w:rtl w:val="0"/>
        </w:rPr>
        <w:t xml:space="preserve">Primárním obsahem popisovaného dokumentu jsou příklady kódování různých dopravních značek zakódovaných podle ISO 14823-1 GDD v ASN.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1"/>
        <w:ind w:left="0" w:hanging="2"/>
        <w:rPr/>
      </w:pPr>
      <w:r w:rsidDel="00000000" w:rsidR="00000000" w:rsidRPr="00000000">
        <w:rPr>
          <w:rtl w:val="0"/>
        </w:rPr>
        <w:t xml:space="preserve">3 Termíny a definice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bookmarkStart w:colFirst="0" w:colLast="0" w:name="_heading=h.tyjcwt" w:id="10"/>
      <w:bookmarkEnd w:id="10"/>
      <w:r w:rsidDel="00000000" w:rsidR="00000000" w:rsidRPr="00000000">
        <w:rPr>
          <w:color w:val="000000"/>
          <w:rtl w:val="0"/>
        </w:rPr>
        <w:t xml:space="preserve">Tato kapitola definuje 6 termínů. Například: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slovník grafických dat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i w:val="1"/>
          <w:color w:val="000000"/>
          <w:rtl w:val="0"/>
        </w:rPr>
        <w:t xml:space="preserve">(graphic data dictionary)</w:t>
      </w:r>
      <w:r w:rsidDel="00000000" w:rsidR="00000000" w:rsidRPr="00000000">
        <w:rPr>
          <w:color w:val="000000"/>
          <w:rtl w:val="0"/>
        </w:rPr>
        <w:t xml:space="preserve"> systematicky strukturovaný seznam kódů piktogramů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piktogram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i w:val="1"/>
          <w:color w:val="000000"/>
          <w:rtl w:val="0"/>
        </w:rPr>
        <w:t xml:space="preserve">(pictogram)</w:t>
      </w:r>
      <w:r w:rsidDel="00000000" w:rsidR="00000000" w:rsidRPr="00000000">
        <w:rPr>
          <w:color w:val="000000"/>
          <w:rtl w:val="0"/>
        </w:rPr>
        <w:t xml:space="preserve"> znak nebo ikonka zobrazená na displeji systému IT, jako je počítač nebo proměnné dopravní značení (VMS), která poskytuje informace cestujícím například o dopravním omezení, veřejných zařízeních apod.</w:t>
      </w:r>
    </w:p>
    <w:p w:rsidR="00000000" w:rsidDel="00000000" w:rsidP="00000000" w:rsidRDefault="00000000" w:rsidRPr="00000000" w14:paraId="00000015">
      <w:pPr>
        <w:pStyle w:val="Heading1"/>
        <w:ind w:left="0" w:hanging="2"/>
        <w:rPr/>
      </w:pPr>
      <w:bookmarkStart w:colFirst="0" w:colLast="0" w:name="_heading=h.k2373fclpmbw" w:id="11"/>
      <w:bookmarkEnd w:id="11"/>
      <w:r w:rsidDel="00000000" w:rsidR="00000000" w:rsidRPr="00000000">
        <w:rPr>
          <w:rtl w:val="0"/>
        </w:rPr>
        <w:t xml:space="preserve">4 Zkratky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stanovuje 6 zkratek. Zkratka důležitá z pohledu tohoto extraktu je: </w:t>
      </w:r>
    </w:p>
    <w:p w:rsidR="00000000" w:rsidDel="00000000" w:rsidP="00000000" w:rsidRDefault="00000000" w:rsidRPr="00000000" w14:paraId="00000017">
      <w:pPr>
        <w:ind w:left="0" w:hanging="2"/>
        <w:rPr>
          <w:i w:val="1"/>
        </w:rPr>
      </w:pPr>
      <w:r w:rsidDel="00000000" w:rsidR="00000000" w:rsidRPr="00000000">
        <w:rPr>
          <w:b w:val="1"/>
          <w:rtl w:val="0"/>
        </w:rPr>
        <w:t xml:space="preserve">ASN.1</w:t>
        <w:tab/>
      </w:r>
      <w:r w:rsidDel="00000000" w:rsidR="00000000" w:rsidRPr="00000000">
        <w:rPr>
          <w:rtl w:val="0"/>
        </w:rPr>
        <w:t xml:space="preserve">jazyk ASN.1; abstraktní zápis syntaxe (číslo) jedna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(Abstract Syntax Notation </w:t>
      </w:r>
      <w:r w:rsidDel="00000000" w:rsidR="00000000" w:rsidRPr="00000000">
        <w:rPr>
          <w:i w:val="1"/>
          <w:rtl w:val="0"/>
        </w:rPr>
        <w:t xml:space="preserve">One</w:t>
      </w:r>
      <w:r w:rsidDel="00000000" w:rsidR="00000000" w:rsidRPr="00000000">
        <w:rPr>
          <w:i w:val="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ind w:left="0" w:hanging="2"/>
        <w:rPr>
          <w:b w:val="1"/>
        </w:rPr>
      </w:pPr>
      <w:r w:rsidDel="00000000" w:rsidR="00000000" w:rsidRPr="00000000">
        <w:rPr>
          <w:b w:val="1"/>
          <w:rtl w:val="0"/>
        </w:rPr>
        <w:t xml:space="preserve">GDD</w:t>
      </w:r>
      <w:r w:rsidDel="00000000" w:rsidR="00000000" w:rsidRPr="00000000">
        <w:rPr>
          <w:i w:val="1"/>
          <w:rtl w:val="0"/>
        </w:rPr>
        <w:t xml:space="preserve"> slovník grafických dat (graphic data dictionary)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i w:val="1"/>
          <w:color w:val="000000"/>
          <w:sz w:val="18"/>
          <w:szCs w:val="18"/>
          <w:rtl w:val="0"/>
        </w:rPr>
        <w:t xml:space="preserve">Poznámka: Další termíny a zkratky z oboru ITS jsou obsaženy ve slovníku ITS terminology (</w:t>
      </w:r>
      <w:hyperlink r:id="rId8">
        <w:r w:rsidDel="00000000" w:rsidR="00000000" w:rsidRPr="00000000">
          <w:rPr>
            <w:i w:val="1"/>
            <w:color w:val="000000"/>
            <w:sz w:val="18"/>
            <w:szCs w:val="18"/>
            <w:rtl w:val="0"/>
          </w:rPr>
          <w:t xml:space="preserve">www.itsterminology.org</w:t>
        </w:r>
      </w:hyperlink>
      <w:r w:rsidDel="00000000" w:rsidR="00000000" w:rsidRPr="00000000">
        <w:rPr>
          <w:i w:val="1"/>
          <w:color w:val="000000"/>
          <w:sz w:val="18"/>
          <w:szCs w:val="1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left="0" w:hanging="2"/>
        <w:rPr/>
      </w:pPr>
      <w:bookmarkStart w:colFirst="0" w:colLast="0" w:name="_heading=h.qfqfpgofc94p" w:id="12"/>
      <w:bookmarkEnd w:id="12"/>
      <w:r w:rsidDel="00000000" w:rsidR="00000000" w:rsidRPr="00000000">
        <w:rPr>
          <w:rtl w:val="0"/>
        </w:rPr>
        <w:t xml:space="preserve">5 Případ užití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/>
      </w:pPr>
      <w:bookmarkStart w:colFirst="0" w:colLast="0" w:name="_heading=h.1t3h5sf" w:id="13"/>
      <w:bookmarkEnd w:id="13"/>
      <w:r w:rsidDel="00000000" w:rsidR="00000000" w:rsidRPr="00000000">
        <w:rPr>
          <w:color w:val="000000"/>
          <w:rtl w:val="0"/>
        </w:rPr>
        <w:t xml:space="preserve">Tato kapitola (rozsah 1 věta) uvádí typický případ použití grafického datového slovníku pro zo</w:t>
      </w:r>
      <w:r w:rsidDel="00000000" w:rsidR="00000000" w:rsidRPr="00000000">
        <w:rPr>
          <w:rtl w:val="0"/>
        </w:rPr>
        <w:t xml:space="preserve">brazování dopravního značení ve vozidlech službě kooperativních systémů (C-ITS).</w:t>
      </w:r>
    </w:p>
    <w:p w:rsidR="00000000" w:rsidDel="00000000" w:rsidP="00000000" w:rsidRDefault="00000000" w:rsidRPr="00000000" w14:paraId="0000001C">
      <w:pPr>
        <w:pStyle w:val="Heading1"/>
        <w:ind w:left="0" w:hanging="2"/>
        <w:rPr/>
      </w:pPr>
      <w:bookmarkStart w:colFirst="0" w:colLast="0" w:name="_heading=h.70y3xb1dvgqi" w:id="14"/>
      <w:bookmarkEnd w:id="14"/>
      <w:r w:rsidDel="00000000" w:rsidR="00000000" w:rsidRPr="00000000">
        <w:rPr>
          <w:rtl w:val="0"/>
        </w:rPr>
        <w:t xml:space="preserve">6 Příklady popisu ASN.1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bookmarkStart w:colFirst="0" w:colLast="0" w:name="_heading=h.4d34og8" w:id="15"/>
      <w:bookmarkEnd w:id="15"/>
      <w:r w:rsidDel="00000000" w:rsidR="00000000" w:rsidRPr="00000000">
        <w:rPr>
          <w:color w:val="000000"/>
          <w:rtl w:val="0"/>
        </w:rPr>
        <w:t xml:space="preserve">Tato kapitola (rozsah 20 stran, 2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color w:val="000000"/>
          <w:rtl w:val="0"/>
        </w:rPr>
        <w:t xml:space="preserve">brázky) obsahuje nejprve celkové ASN.1 schéma GDD a poté příklady zakódování </w:t>
      </w:r>
      <w:r w:rsidDel="00000000" w:rsidR="00000000" w:rsidRPr="00000000">
        <w:rPr>
          <w:rtl w:val="0"/>
        </w:rPr>
        <w:t xml:space="preserve">různých dopravních </w:t>
      </w:r>
      <w:r w:rsidDel="00000000" w:rsidR="00000000" w:rsidRPr="00000000">
        <w:rPr>
          <w:color w:val="000000"/>
          <w:rtl w:val="0"/>
        </w:rPr>
        <w:t xml:space="preserve">značek, příklady zakódování různých atributů (vlastností) značky. Každý příklad obsahuje krátký popis následovaný kódem v ASN.1 a </w:t>
      </w:r>
      <w:r w:rsidDel="00000000" w:rsidR="00000000" w:rsidRPr="00000000">
        <w:rPr>
          <w:rtl w:val="0"/>
        </w:rPr>
        <w:t xml:space="preserve">ilustrativním </w:t>
      </w:r>
      <w:r w:rsidDel="00000000" w:rsidR="00000000" w:rsidRPr="00000000">
        <w:rPr>
          <w:color w:val="000000"/>
          <w:rtl w:val="0"/>
        </w:rPr>
        <w:t xml:space="preserve">obrázkem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 článku </w:t>
      </w:r>
      <w:r w:rsidDel="00000000" w:rsidR="00000000" w:rsidRPr="00000000">
        <w:rPr>
          <w:color w:val="000000"/>
          <w:rtl w:val="0"/>
        </w:rPr>
        <w:t xml:space="preserve">6.2</w:t>
      </w:r>
      <w:r w:rsidDel="00000000" w:rsidR="00000000" w:rsidRPr="00000000">
        <w:rPr>
          <w:color w:val="000000"/>
          <w:rtl w:val="0"/>
        </w:rPr>
        <w:t xml:space="preserve"> (1 strana) jsou uvedeny 2 příklady kódů ASN.1 a 2 obrázky pro značky bez volitelných vlastností, sestávající z kódu země, kódu kategorie služby a kódu kategorie piktogramu.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Článek 6.3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tributy </w:t>
      </w:r>
      <w:r w:rsidDel="00000000" w:rsidR="00000000" w:rsidRPr="00000000">
        <w:rPr>
          <w:color w:val="000000"/>
          <w:rtl w:val="0"/>
        </w:rPr>
        <w:t xml:space="preserve">(rozsah 13 stran) uvádí 21 příkladů zakódování </w:t>
      </w:r>
      <w:r w:rsidDel="00000000" w:rsidR="00000000" w:rsidRPr="00000000">
        <w:rPr>
          <w:rtl w:val="0"/>
        </w:rPr>
        <w:t xml:space="preserve">různých vlastností dopravních značek včetně </w:t>
      </w:r>
      <w:r w:rsidDel="00000000" w:rsidR="00000000" w:rsidRPr="00000000">
        <w:rPr>
          <w:color w:val="000000"/>
          <w:rtl w:val="0"/>
        </w:rPr>
        <w:t xml:space="preserve">kódů ASN.1 a </w:t>
      </w:r>
      <w:r w:rsidDel="00000000" w:rsidR="00000000" w:rsidRPr="00000000">
        <w:rPr>
          <w:rtl w:val="0"/>
        </w:rPr>
        <w:t xml:space="preserve">ilustrací, </w:t>
      </w:r>
      <w:r w:rsidDel="00000000" w:rsidR="00000000" w:rsidRPr="00000000">
        <w:rPr>
          <w:color w:val="000000"/>
          <w:rtl w:val="0"/>
        </w:rPr>
        <w:t xml:space="preserve">jako jsou platn</w:t>
      </w:r>
      <w:r w:rsidDel="00000000" w:rsidR="00000000" w:rsidRPr="00000000">
        <w:rPr>
          <w:rtl w:val="0"/>
        </w:rPr>
        <w:t xml:space="preserve">á</w:t>
      </w:r>
      <w:r w:rsidDel="00000000" w:rsidR="00000000" w:rsidRPr="00000000">
        <w:rPr>
          <w:color w:val="000000"/>
          <w:rtl w:val="0"/>
        </w:rPr>
        <w:t xml:space="preserve"> období, rozměry vozidel, rychlostní limity a směrové informace, viz následující výčet.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Platné období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Poskytuje příklady značek, které označují datum/čas, kdy je značka platná. Například značka pro silniční práce začínající 31. prosince 2017 a končící 1. ledna 2018.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Výjimky z platného období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Ukazuje příklady značek, které </w:t>
      </w:r>
      <w:r w:rsidDel="00000000" w:rsidR="00000000" w:rsidRPr="00000000">
        <w:rPr>
          <w:rtl w:val="0"/>
        </w:rPr>
        <w:t xml:space="preserve">uvádějí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kdy nejsou platné. Na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říklad zákaz vjezdu, který je výjimkou v pondělí a pátek od 0:00 do 12:30.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Úsek značky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Indikuje úsek vozovky, kde značka platí. Například značka pro </w:t>
      </w:r>
      <w:r w:rsidDel="00000000" w:rsidR="00000000" w:rsidRPr="00000000">
        <w:rPr>
          <w:rtl w:val="0"/>
        </w:rPr>
        <w:t xml:space="preserve">práce 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silnici platná od pozice značky </w:t>
      </w:r>
      <w:r w:rsidDel="00000000" w:rsidR="00000000" w:rsidRPr="00000000">
        <w:rPr>
          <w:rtl w:val="0"/>
        </w:rPr>
        <w:t xml:space="preserve">po</w:t>
      </w:r>
      <w:r w:rsidDel="00000000" w:rsidR="00000000" w:rsidRPr="00000000">
        <w:rPr>
          <w:rtl w:val="0"/>
        </w:rPr>
        <w:t xml:space="preserve"> vzdálenost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100 metrů od značky.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Počet pruhů a směr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Určuje počet pruhů a jejich směr. </w:t>
      </w:r>
      <w:r w:rsidDel="00000000" w:rsidR="00000000" w:rsidRPr="00000000">
        <w:rPr>
          <w:rtl w:val="0"/>
        </w:rPr>
        <w:t xml:space="preserve">Například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značka s jedním pruhem a přímým směrem.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Rozměry vozidel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Specifikuje rozměrová omezení pro vozidla. Na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říklad značka zakazující vjezd vozidlům vyšším než 3,5 metru, značka zakazující vjezd vozidlům širším než 2 metry, značka zakazující vjezd vozidlům delším než 10 metrů či značka zakazující vjezd vozidlům těžším než 5 tun.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Rychlostní limity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Určuje maximální a minimální rychlostní limity. </w:t>
      </w:r>
      <w:r w:rsidDel="00000000" w:rsidR="00000000" w:rsidRPr="00000000">
        <w:rPr>
          <w:rtl w:val="0"/>
        </w:rPr>
        <w:t xml:space="preserve">Nap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říklad </w:t>
      </w:r>
      <w:r w:rsidDel="00000000" w:rsidR="00000000" w:rsidRPr="00000000">
        <w:rPr>
          <w:rtl w:val="0"/>
        </w:rPr>
        <w:t xml:space="preserve">značka 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maximální rychlostí 50 km/h nebo různé rychlostní limity pro tři pruhy.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Stoupání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Indikuje sklon vozovky vyjádřený v procentech. </w:t>
      </w:r>
      <w:r w:rsidDel="00000000" w:rsidR="00000000" w:rsidRPr="00000000">
        <w:rPr>
          <w:rtl w:val="0"/>
        </w:rPr>
        <w:t xml:space="preserve">Nap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říklad sklon vozovky 10 %.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both"/>
        <w:rPr/>
      </w:pPr>
      <w:r w:rsidDel="00000000" w:rsidR="00000000" w:rsidRPr="00000000">
        <w:rPr>
          <w:b w:val="1"/>
          <w:rtl w:val="0"/>
        </w:rPr>
        <w:t xml:space="preserve">Rozestupy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mezi voz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idly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Specifikuje mezery mezi vozidly. </w:t>
      </w:r>
      <w:r w:rsidDel="00000000" w:rsidR="00000000" w:rsidRPr="00000000">
        <w:rPr>
          <w:rtl w:val="0"/>
        </w:rPr>
        <w:t xml:space="preserve">Nap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říklad zákaz </w:t>
      </w:r>
      <w:r w:rsidDel="00000000" w:rsidR="00000000" w:rsidRPr="00000000">
        <w:rPr>
          <w:rtl w:val="0"/>
        </w:rPr>
        <w:t xml:space="preserve">menších rozestupů jedoucích vozidel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než 70 metrů.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Informace o cíli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Poskytuje směrové informace (</w:t>
      </w:r>
      <w:r w:rsidDel="00000000" w:rsidR="00000000" w:rsidRPr="00000000">
        <w:rPr>
          <w:rtl w:val="0"/>
        </w:rPr>
        <w:t xml:space="preserve">detaily cíle)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 jednotlivé větve křižovat</w:t>
      </w:r>
      <w:r w:rsidDel="00000000" w:rsidR="00000000" w:rsidRPr="00000000">
        <w:rPr>
          <w:rtl w:val="0"/>
        </w:rPr>
        <w:t xml:space="preserve">ek zobrazených na informativní značce, umožňuje popsat různé konfigurace křižovatek a jejich reprezentaci na značce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Například křižovatka se třemi větvemi, každá s informacemi o cíli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neúplná kruhová křižovatka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třemi </w:t>
      </w:r>
      <w:r w:rsidDel="00000000" w:rsidR="00000000" w:rsidRPr="00000000">
        <w:rPr>
          <w:rtl w:val="0"/>
        </w:rPr>
        <w:t xml:space="preserve">rameny,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křižovatka se třemi </w:t>
      </w:r>
      <w:r w:rsidDel="00000000" w:rsidR="00000000" w:rsidRPr="00000000">
        <w:rPr>
          <w:rtl w:val="0"/>
        </w:rPr>
        <w:t xml:space="preserve">rameny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s čtvrtkruhovou propojkou mezi dvěma </w:t>
      </w:r>
      <w:r w:rsidDel="00000000" w:rsidR="00000000" w:rsidRPr="00000000">
        <w:rPr>
          <w:rtl w:val="0"/>
        </w:rPr>
        <w:t xml:space="preserve">z nich,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 sobě j</w:t>
      </w:r>
      <w:r w:rsidDel="00000000" w:rsidR="00000000" w:rsidRPr="00000000">
        <w:rPr>
          <w:rtl w:val="0"/>
        </w:rPr>
        <w:t xml:space="preserve">doucí odbočení či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pouze směr a vzdálenost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každého cíle bez grafiky znázorňující křižovatku nebo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značka indikující cíl na jedné z větví pomocí piktogramu, například zna</w:t>
      </w:r>
      <w:r w:rsidDel="00000000" w:rsidR="00000000" w:rsidRPr="00000000">
        <w:rPr>
          <w:rtl w:val="0"/>
        </w:rPr>
        <w:t xml:space="preserve">čku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nemocnice.</w:t>
      </w:r>
      <w:r w:rsidDel="00000000" w:rsidR="00000000" w:rsidRPr="00000000">
        <w:rPr>
          <w:rtl w:val="0"/>
        </w:rPr>
      </w:r>
    </w:p>
    <w:tbl>
      <w:tblPr>
        <w:tblStyle w:val="Table2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49"/>
        <w:gridCol w:w="3113"/>
        <w:tblGridChange w:id="0">
          <w:tblGrid>
            <w:gridCol w:w="5949"/>
            <w:gridCol w:w="311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9">
            <w:pPr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Příklad 14: dopravní značení omezující maximální rychlost na 50 km/h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example14 GddStructure ::= {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pictogramCode {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serviceCategoryCode trafficSignPictogram:12,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pictogramCategoryCode {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nature 5,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serialNumber 57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attributes {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spe {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speedLimitMax 50,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unit 0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ind w:left="0" w:hanging="2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ind w:left="0" w:hanging="2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ind w:left="0" w:hanging="2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889216" cy="835324"/>
                  <wp:effectExtent b="0" l="0" r="0" t="0"/>
                  <wp:docPr id="1047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216" cy="8353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Obr 6.14 — Značka z příkladu 14</w:t>
            </w:r>
          </w:p>
          <w:p w:rsidR="00000000" w:rsidDel="00000000" w:rsidP="00000000" w:rsidRDefault="00000000" w:rsidRPr="00000000" w14:paraId="0000003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b w:val="1"/>
          <w:color w:val="000000"/>
          <w:sz w:val="22"/>
          <w:szCs w:val="22"/>
        </w:rPr>
      </w:pPr>
      <w:bookmarkStart w:colFirst="0" w:colLast="0" w:name="_heading=h.zeeuw5iep7ap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Literatura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(rozsah </w:t>
      </w:r>
      <w:r w:rsidDel="00000000" w:rsidR="00000000" w:rsidRPr="00000000">
        <w:rPr>
          <w:rtl w:val="0"/>
        </w:rPr>
        <w:t xml:space="preserve">0,5</w:t>
      </w:r>
      <w:r w:rsidDel="00000000" w:rsidR="00000000" w:rsidRPr="00000000">
        <w:rPr>
          <w:color w:val="000000"/>
          <w:rtl w:val="0"/>
        </w:rPr>
        <w:t xml:space="preserve"> strany) uvádí odkazy na dokumenty </w:t>
      </w:r>
      <w:r w:rsidDel="00000000" w:rsidR="00000000" w:rsidRPr="00000000">
        <w:rPr>
          <w:rtl w:val="0"/>
        </w:rPr>
        <w:t xml:space="preserve">stanovující </w:t>
      </w:r>
      <w:r w:rsidDel="00000000" w:rsidR="00000000" w:rsidRPr="00000000">
        <w:rPr>
          <w:color w:val="000000"/>
          <w:rtl w:val="0"/>
        </w:rPr>
        <w:t xml:space="preserve">názvy a definice piktogramů dopravních značek, včetně značek OSN, francouzských značek, japonských značek, amerických značek a britských značek.</w:t>
      </w:r>
    </w:p>
    <w:sectPr>
      <w:footerReference r:id="rId10" w:type="default"/>
      <w:pgSz w:h="16838" w:w="11906" w:orient="portrait"/>
      <w:pgMar w:bottom="1497" w:top="1417" w:left="1417" w:right="1417" w:header="708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hanging="2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899794</wp:posOffset>
          </wp:positionH>
          <wp:positionV relativeFrom="paragraph">
            <wp:posOffset>0</wp:posOffset>
          </wp:positionV>
          <wp:extent cx="75565" cy="145415"/>
          <wp:effectExtent b="0" l="0" r="0" t="0"/>
          <wp:wrapSquare wrapText="bothSides" distB="0" distT="0" distL="114300" distR="114300"/>
          <wp:docPr id="104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" cy="14541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cs-CZ"/>
      </w:rPr>
    </w:rPrDefault>
    <w:pPrDefault>
      <w:pPr>
        <w:spacing w:after="120" w:line="276" w:lineRule="auto"/>
        <w:ind w:hanging="1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00" w:lineRule="auto"/>
    </w:pPr>
    <w:rPr>
      <w:b w:val="1"/>
      <w:color w:val="000000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color w:val="00000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tabs>
        <w:tab w:val="left" w:leader="none" w:pos="7080"/>
        <w:tab w:val="right" w:leader="none" w:pos="9923"/>
      </w:tabs>
      <w:spacing w:after="60" w:lineRule="auto"/>
      <w:jc w:val="center"/>
    </w:pPr>
    <w:rPr>
      <w:b w:val="1"/>
      <w:color w:val="000000"/>
      <w:sz w:val="40"/>
      <w:szCs w:val="40"/>
    </w:rPr>
  </w:style>
  <w:style w:type="paragraph" w:styleId="Normln" w:default="1">
    <w:name w:val="Normal"/>
    <w:qFormat w:val="1"/>
    <w:pPr>
      <w:ind w:left="-1" w:leftChars="-1" w:hangingChars="1"/>
      <w:textDirection w:val="btLr"/>
      <w:textAlignment w:val="top"/>
      <w:outlineLvl w:val="0"/>
    </w:pPr>
    <w:rPr>
      <w:position w:val="-1"/>
      <w:lang w:bidi="hi-IN" w:eastAsia="hi-IN"/>
    </w:rPr>
  </w:style>
  <w:style w:type="paragraph" w:styleId="Nadpis1">
    <w:name w:val="heading 1"/>
    <w:basedOn w:val="Normln"/>
    <w:next w:val="Zkladntext"/>
    <w:uiPriority w:val="9"/>
    <w:qFormat w:val="1"/>
    <w:pPr>
      <w:keepNext w:val="1"/>
      <w:keepLines w:val="1"/>
      <w:spacing w:after="60" w:before="200"/>
    </w:pPr>
    <w:rPr>
      <w:b w:val="1"/>
      <w:color w:val="000000"/>
      <w:sz w:val="22"/>
      <w:szCs w:val="22"/>
    </w:rPr>
  </w:style>
  <w:style w:type="paragraph" w:styleId="Nadpis2">
    <w:name w:val="heading 2"/>
    <w:basedOn w:val="Normln"/>
    <w:next w:val="Zkladntext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color w:val="000000"/>
      <w:sz w:val="36"/>
      <w:szCs w:val="36"/>
    </w:rPr>
  </w:style>
  <w:style w:type="paragraph" w:styleId="Nadpis3">
    <w:name w:val="heading 3"/>
    <w:basedOn w:val="Normln"/>
    <w:next w:val="Zkladntext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color w:val="000000"/>
      <w:sz w:val="28"/>
      <w:szCs w:val="28"/>
    </w:rPr>
  </w:style>
  <w:style w:type="paragraph" w:styleId="Nadpis4">
    <w:name w:val="heading 4"/>
    <w:basedOn w:val="Normln"/>
    <w:next w:val="Zkladntext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color w:val="000000"/>
      <w:sz w:val="24"/>
      <w:szCs w:val="24"/>
    </w:rPr>
  </w:style>
  <w:style w:type="paragraph" w:styleId="Nadpis5">
    <w:name w:val="heading 5"/>
    <w:basedOn w:val="Normln"/>
    <w:next w:val="Zkladntext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color w:val="000000"/>
      <w:sz w:val="22"/>
      <w:szCs w:val="22"/>
    </w:rPr>
  </w:style>
  <w:style w:type="paragraph" w:styleId="Nadpis6">
    <w:name w:val="heading 6"/>
    <w:basedOn w:val="Normln"/>
    <w:next w:val="Zkladntext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color w:val="000000"/>
    </w:rPr>
  </w:style>
  <w:style w:type="character" w:styleId="Standardnpsmoodstavce" w:default="1">
    <w:name w:val="Default Paragraph Font"/>
    <w:uiPriority w:val="1"/>
    <w:semiHidden w:val="1"/>
    <w:unhideWhenUsed w:val="1"/>
  </w:style>
  <w:style w:type="table" w:styleId="Normlntabul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zev">
    <w:name w:val="Title"/>
    <w:basedOn w:val="Normln"/>
    <w:next w:val="Podnadpis1"/>
    <w:uiPriority w:val="10"/>
    <w:qFormat w:val="1"/>
    <w:pPr>
      <w:keepNext w:val="1"/>
      <w:keepLines w:val="1"/>
      <w:widowControl w:val="0"/>
      <w:tabs>
        <w:tab w:val="left" w:pos="7080"/>
        <w:tab w:val="right" w:pos="9923"/>
      </w:tabs>
      <w:spacing w:after="60" w:line="100" w:lineRule="atLeast"/>
      <w:jc w:val="center"/>
    </w:pPr>
    <w:rPr>
      <w:b w:val="1"/>
      <w:bCs w:val="1"/>
      <w:color w:val="000000"/>
      <w:sz w:val="40"/>
      <w:szCs w:val="40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Odrky" w:customStyle="1">
    <w:name w:val="Odrážky"/>
    <w:rPr>
      <w:rFonts w:ascii="OpenSymbol" w:cs="OpenSymbol" w:eastAsia="OpenSymbol" w:hAnsi="OpenSymbol"/>
      <w:w w:val="100"/>
      <w:position w:val="-1"/>
      <w:effect w:val="none"/>
      <w:vertAlign w:val="baseline"/>
      <w:cs w:val="0"/>
      <w:em w:val="none"/>
    </w:rPr>
  </w:style>
  <w:style w:type="paragraph" w:styleId="Nadpis" w:customStyle="1">
    <w:name w:val="Nadpis"/>
    <w:basedOn w:val="Normln"/>
    <w:next w:val="Zkladntext"/>
    <w:pPr>
      <w:keepNext w:val="1"/>
      <w:spacing w:before="240"/>
    </w:pPr>
    <w:rPr>
      <w:rFonts w:cs="Lucida Sans" w:eastAsia="Microsoft YaHei"/>
      <w:color w:val="000000"/>
      <w:sz w:val="28"/>
      <w:szCs w:val="28"/>
    </w:rPr>
  </w:style>
  <w:style w:type="paragraph" w:styleId="Zkladntext">
    <w:name w:val="Body Text"/>
    <w:basedOn w:val="Normln"/>
    <w:rPr>
      <w:color w:val="000000"/>
    </w:rPr>
  </w:style>
  <w:style w:type="paragraph" w:styleId="Seznam">
    <w:name w:val="List"/>
    <w:basedOn w:val="Zkladntext"/>
    <w:rPr>
      <w:rFonts w:cs="Lucida Sans"/>
    </w:rPr>
  </w:style>
  <w:style w:type="paragraph" w:styleId="Popisek" w:customStyle="1">
    <w:name w:val="Popisek"/>
    <w:basedOn w:val="Normln"/>
    <w:pPr>
      <w:suppressLineNumbers w:val="1"/>
      <w:spacing w:before="120"/>
    </w:pPr>
    <w:rPr>
      <w:rFonts w:cs="Lucida Sans"/>
      <w:i w:val="1"/>
      <w:iCs w:val="1"/>
      <w:color w:val="000000"/>
      <w:sz w:val="24"/>
      <w:szCs w:val="24"/>
    </w:rPr>
  </w:style>
  <w:style w:type="paragraph" w:styleId="Rejstk" w:customStyle="1">
    <w:name w:val="Rejstřík"/>
    <w:basedOn w:val="Normln"/>
    <w:pPr>
      <w:suppressLineNumbers w:val="1"/>
    </w:pPr>
    <w:rPr>
      <w:rFonts w:cs="Lucida Sans"/>
      <w:color w:val="000000"/>
    </w:rPr>
  </w:style>
  <w:style w:type="paragraph" w:styleId="Podnadpis1" w:customStyle="1">
    <w:name w:val="Podnadpis1"/>
    <w:basedOn w:val="Normln"/>
    <w:next w:val="Zkladntext"/>
    <w:pPr>
      <w:keepNext w:val="1"/>
      <w:keepLines w:val="1"/>
      <w:spacing w:after="0" w:before="180" w:line="100" w:lineRule="atLeast"/>
      <w:jc w:val="left"/>
    </w:pPr>
    <w:rPr>
      <w:b w:val="1"/>
      <w:i w:val="1"/>
      <w:iCs w:val="1"/>
      <w:color w:val="000000"/>
      <w:sz w:val="32"/>
      <w:szCs w:val="32"/>
    </w:rPr>
  </w:style>
  <w:style w:type="paragraph" w:styleId="Zpat">
    <w:name w:val="footer"/>
    <w:basedOn w:val="Normln"/>
    <w:pPr>
      <w:suppressLineNumbers w:val="1"/>
      <w:tabs>
        <w:tab w:val="center" w:pos="4819"/>
        <w:tab w:val="right" w:pos="9638"/>
      </w:tabs>
    </w:pPr>
    <w:rPr>
      <w:color w:val="000000"/>
    </w:rPr>
  </w:style>
  <w:style w:type="paragraph" w:styleId="Odstavecseseznamem">
    <w:name w:val="List Paragraph"/>
    <w:basedOn w:val="Normln"/>
    <w:pPr>
      <w:ind w:left="720" w:firstLine="0"/>
    </w:pPr>
    <w:rPr>
      <w:color w:val="000000"/>
    </w:rPr>
  </w:style>
  <w:style w:type="paragraph" w:styleId="Titulek">
    <w:name w:val="caption"/>
    <w:basedOn w:val="Normln"/>
    <w:next w:val="Normln"/>
    <w:pPr>
      <w:spacing w:after="200" w:line="100" w:lineRule="atLeast"/>
      <w:jc w:val="center"/>
    </w:pPr>
    <w:rPr>
      <w:bCs w:val="1"/>
      <w:color w:val="000000"/>
      <w:sz w:val="18"/>
      <w:szCs w:val="18"/>
    </w:rPr>
  </w:style>
  <w:style w:type="paragraph" w:styleId="Obsahtabulky" w:customStyle="1">
    <w:name w:val="Obsah tabulky"/>
    <w:basedOn w:val="Normln"/>
    <w:pPr>
      <w:suppressLineNumbers w:val="1"/>
    </w:pPr>
    <w:rPr>
      <w:color w:val="000000"/>
    </w:rPr>
  </w:style>
  <w:style w:type="paragraph" w:styleId="Normlnweb">
    <w:name w:val="Normal (Web)"/>
    <w:basedOn w:val="Normln"/>
    <w:uiPriority w:val="99"/>
    <w:qFormat w:val="1"/>
    <w:pPr>
      <w:suppressAutoHyphens w:val="1"/>
      <w:spacing w:after="100" w:afterAutospacing="1" w:before="100" w:beforeAutospacing="1" w:line="240" w:lineRule="auto"/>
      <w:jc w:val="left"/>
    </w:pPr>
    <w:rPr>
      <w:rFonts w:ascii="Times New Roman" w:cs="Times New Roman" w:eastAsia="Times New Roman" w:hAnsi="Times New Roman"/>
      <w:sz w:val="24"/>
      <w:szCs w:val="24"/>
      <w:lang w:bidi="ar-SA" w:eastAsia="cs-CZ"/>
    </w:rPr>
  </w:style>
  <w:style w:type="table" w:styleId="Mkatabulky">
    <w:name w:val="Table Grid"/>
    <w:basedOn w:val="Normlntabulka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odnadpis">
    <w:name w:val="Subtitle"/>
    <w:basedOn w:val="Normln"/>
    <w:next w:val="Normln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Textkomente">
    <w:name w:val="annotation text"/>
    <w:basedOn w:val="Normln"/>
    <w:link w:val="TextkomenteChar"/>
    <w:uiPriority w:val="99"/>
    <w:semiHidden w:val="1"/>
    <w:unhideWhenUsed w:val="1"/>
    <w:pPr>
      <w:spacing w:line="240" w:lineRule="auto"/>
    </w:pPr>
    <w:rPr>
      <w:rFonts w:cs="Mangal"/>
      <w:szCs w:val="18"/>
    </w:rPr>
  </w:style>
  <w:style w:type="character" w:styleId="TextkomenteChar" w:customStyle="1">
    <w:name w:val="Text komentáře Char"/>
    <w:basedOn w:val="Standardnpsmoodstavce"/>
    <w:link w:val="Textkomente"/>
    <w:uiPriority w:val="99"/>
    <w:semiHidden w:val="1"/>
    <w:rPr>
      <w:rFonts w:cs="Mangal"/>
      <w:position w:val="-1"/>
      <w:szCs w:val="18"/>
      <w:lang w:bidi="hi-IN" w:eastAsia="hi-IN"/>
    </w:rPr>
  </w:style>
  <w:style w:type="character" w:styleId="Odkaznakoment">
    <w:name w:val="annotation reference"/>
    <w:basedOn w:val="Standardnpsmoodstavce"/>
    <w:uiPriority w:val="99"/>
    <w:semiHidden w:val="1"/>
    <w:unhideWhenUsed w:val="1"/>
    <w:rPr>
      <w:sz w:val="16"/>
      <w:szCs w:val="16"/>
    </w:rPr>
  </w:style>
  <w:style w:type="paragraph" w:styleId="Textbubliny">
    <w:name w:val="Balloon Text"/>
    <w:basedOn w:val="Normln"/>
    <w:link w:val="TextbublinyChar"/>
    <w:uiPriority w:val="99"/>
    <w:semiHidden w:val="1"/>
    <w:unhideWhenUsed w:val="1"/>
    <w:rsid w:val="002524C9"/>
    <w:pPr>
      <w:spacing w:after="0" w:line="240" w:lineRule="auto"/>
    </w:pPr>
    <w:rPr>
      <w:rFonts w:ascii="Tahoma" w:cs="Mangal" w:hAnsi="Tahoma"/>
      <w:sz w:val="16"/>
      <w:szCs w:val="14"/>
    </w:rPr>
  </w:style>
  <w:style w:type="character" w:styleId="TextbublinyChar" w:customStyle="1">
    <w:name w:val="Text bubliny Char"/>
    <w:basedOn w:val="Standardnpsmoodstavce"/>
    <w:link w:val="Textbubliny"/>
    <w:uiPriority w:val="99"/>
    <w:semiHidden w:val="1"/>
    <w:rsid w:val="002524C9"/>
    <w:rPr>
      <w:rFonts w:ascii="Tahoma" w:cs="Mangal" w:hAnsi="Tahoma"/>
      <w:position w:val="-1"/>
      <w:sz w:val="16"/>
      <w:szCs w:val="14"/>
      <w:lang w:bidi="hi-IN" w:eastAsia="hi-IN"/>
    </w:rPr>
  </w:style>
  <w:style w:type="paragraph" w:styleId="1StrNN-X" w:customStyle="1">
    <w:name w:val="1StrNN-X"/>
    <w:basedOn w:val="Normln"/>
    <w:rsid w:val="002524C9"/>
    <w:pPr>
      <w:widowControl w:val="0"/>
      <w:suppressAutoHyphens w:val="1"/>
      <w:spacing w:after="180" w:before="180" w:line="340" w:lineRule="exact"/>
      <w:ind w:left="0" w:right="567" w:leftChars="0" w:firstLine="0" w:firstLineChars="0"/>
      <w:jc w:val="left"/>
      <w:textDirection w:val="lrTb"/>
      <w:textAlignment w:val="auto"/>
      <w:outlineLvl w:val="9"/>
    </w:pPr>
    <w:rPr>
      <w:b w:val="1"/>
      <w:position w:val="0"/>
      <w:sz w:val="28"/>
      <w:lang w:bidi="ar-SA" w:eastAsia="cs-CZ"/>
    </w:rPr>
  </w:style>
  <w:style w:type="table" w:styleId="ab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Texttabulky" w:customStyle="1">
    <w:name w:val="Text tabulky"/>
    <w:basedOn w:val="Normln"/>
    <w:rsid w:val="00876CFC"/>
    <w:pPr>
      <w:suppressAutoHyphens w:val="1"/>
      <w:spacing w:after="60" w:before="60" w:line="240" w:lineRule="auto"/>
      <w:ind w:left="0" w:leftChars="0" w:firstLine="0" w:firstLineChars="0"/>
      <w:jc w:val="left"/>
      <w:textDirection w:val="lrTb"/>
      <w:textAlignment w:val="auto"/>
      <w:outlineLvl w:val="9"/>
    </w:pPr>
    <w:rPr>
      <w:rFonts w:cs="Times New Roman" w:eastAsia="Times New Roman"/>
      <w:position w:val="0"/>
      <w:sz w:val="18"/>
      <w:lang w:bidi="ar-SA" w:eastAsia="cs-CZ"/>
    </w:rPr>
  </w:style>
  <w:style w:type="paragraph" w:styleId="Bezmezer">
    <w:name w:val="No Spacing"/>
    <w:uiPriority w:val="1"/>
    <w:qFormat w:val="1"/>
    <w:rsid w:val="002D199C"/>
    <w:pPr>
      <w:spacing w:after="0" w:line="240" w:lineRule="auto"/>
      <w:ind w:left="-1" w:leftChars="-1" w:hangingChars="1"/>
      <w:textDirection w:val="btLr"/>
      <w:textAlignment w:val="top"/>
      <w:outlineLvl w:val="0"/>
    </w:pPr>
    <w:rPr>
      <w:rFonts w:cs="Mangal"/>
      <w:position w:val="-1"/>
      <w:szCs w:val="18"/>
      <w:lang w:bidi="hi-IN" w:eastAsia="hi-IN"/>
    </w:rPr>
  </w:style>
  <w:style w:type="paragraph" w:styleId="Example" w:customStyle="1">
    <w:name w:val="Example"/>
    <w:basedOn w:val="Normln"/>
    <w:next w:val="Normln"/>
    <w:rsid w:val="00EF3B69"/>
    <w:pPr>
      <w:tabs>
        <w:tab w:val="left" w:pos="1360"/>
      </w:tabs>
      <w:spacing w:after="240" w:line="210" w:lineRule="atLeast"/>
      <w:ind w:left="0" w:leftChars="0" w:firstLine="0" w:firstLineChars="0"/>
      <w:textDirection w:val="lrTb"/>
      <w:textAlignment w:val="auto"/>
      <w:outlineLvl w:val="9"/>
    </w:pPr>
    <w:rPr>
      <w:rFonts w:cs="Times New Roman" w:eastAsia="MS Mincho"/>
      <w:position w:val="0"/>
      <w:sz w:val="18"/>
      <w:lang w:bidi="ar-SA" w:eastAsia="ja-JP" w:val="en-GB"/>
    </w:rPr>
  </w:style>
  <w:style w:type="table" w:styleId="af1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5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FormtovanvHTML">
    <w:name w:val="HTML Preformatted"/>
    <w:basedOn w:val="Normln"/>
    <w:link w:val="FormtovanvHTMLChar"/>
    <w:uiPriority w:val="99"/>
    <w:semiHidden w:val="1"/>
    <w:unhideWhenUsed w:val="1"/>
    <w:rsid w:val="00C535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leftChars="0" w:firstLine="0" w:firstLineChars="0"/>
      <w:jc w:val="left"/>
      <w:textDirection w:val="lrTb"/>
      <w:textAlignment w:val="auto"/>
      <w:outlineLvl w:val="9"/>
    </w:pPr>
    <w:rPr>
      <w:rFonts w:ascii="Courier New" w:cs="Courier New" w:eastAsia="Times New Roman" w:hAnsi="Courier New"/>
      <w:position w:val="0"/>
      <w:lang w:bidi="ar-SA" w:eastAsia="en-US" w:val="en-US"/>
    </w:rPr>
  </w:style>
  <w:style w:type="character" w:styleId="FormtovanvHTMLChar" w:customStyle="1">
    <w:name w:val="Formátovaný v HTML Char"/>
    <w:basedOn w:val="Standardnpsmoodstavce"/>
    <w:link w:val="FormtovanvHTML"/>
    <w:uiPriority w:val="99"/>
    <w:semiHidden w:val="1"/>
    <w:rsid w:val="00C535A9"/>
    <w:rPr>
      <w:rFonts w:ascii="Courier New" w:cs="Courier New" w:eastAsia="Times New Roman" w:hAnsi="Courier New"/>
      <w:lang w:val="en-US"/>
    </w:rPr>
  </w:style>
  <w:style w:type="character" w:styleId="KdHTML">
    <w:name w:val="HTML Code"/>
    <w:basedOn w:val="Standardnpsmoodstavce"/>
    <w:uiPriority w:val="99"/>
    <w:semiHidden w:val="1"/>
    <w:unhideWhenUsed w:val="1"/>
    <w:rsid w:val="00C535A9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itsterminology.org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AknfWUBivYdMPZamTiRi7DM26Q==">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2024-12-01T11:02:00Z</dcterms:created>
  <dc:creator>Petr Bureš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0ac97a4c91c9e4ffe47e821410312a16cead40a97fa5ef1eab3f26402e2ce144</vt:lpwstr>
  </property>
</Properties>
</file>