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0"/>
          <w:tab w:val="right" w:leader="none" w:pos="9923"/>
        </w:tabs>
        <w:spacing w:after="60" w:lineRule="auto"/>
        <w:ind w:left="2" w:hanging="4"/>
        <w:jc w:val="center"/>
        <w:rPr>
          <w:b w:val="1"/>
          <w:color w:val="000000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40"/>
          <w:szCs w:val="4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posOffset>0</wp:posOffset>
            </wp:positionH>
            <wp:positionV relativeFrom="topMargin">
              <wp:posOffset>-449575</wp:posOffset>
            </wp:positionV>
            <wp:extent cx="75565" cy="151765"/>
            <wp:effectExtent b="0" l="0" r="0" t="0"/>
            <wp:wrapSquare wrapText="bothSides" distB="0" distT="0" distL="114300" distR="114300"/>
            <wp:docPr id="10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" cy="151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000000"/>
          <w:sz w:val="40"/>
          <w:szCs w:val="40"/>
          <w:rtl w:val="0"/>
        </w:rPr>
        <w:t xml:space="preserve">EXTRAKT z technické specifikace 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hanging="2"/>
        <w:rPr>
          <w:color w:val="000000"/>
          <w:sz w:val="16"/>
          <w:szCs w:val="16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000000"/>
          <w:rtl w:val="0"/>
        </w:rPr>
        <w:t xml:space="preserve">Extrakt nenahrazuje samotnou technickou normu, je pouze informativním materiálem o normě.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31.0" w:type="dxa"/>
        <w:tblLayout w:type="fixed"/>
        <w:tblLook w:val="0000"/>
      </w:tblPr>
      <w:tblGrid>
        <w:gridCol w:w="6764"/>
        <w:gridCol w:w="2266"/>
        <w:tblGridChange w:id="0">
          <w:tblGrid>
            <w:gridCol w:w="6764"/>
            <w:gridCol w:w="2266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1" w:right="567" w:hanging="3"/>
              <w:jc w:val="left"/>
              <w:rPr>
                <w:b w:val="1"/>
                <w:color w:val="000000"/>
                <w:sz w:val="28"/>
                <w:szCs w:val="28"/>
              </w:rPr>
            </w:pPr>
            <w:bookmarkStart w:colFirst="0" w:colLast="0" w:name="_heading=h.b7ixhhvdct0t" w:id="2"/>
            <w:bookmarkEnd w:id="2"/>
            <w:r w:rsidDel="00000000" w:rsidR="00000000" w:rsidRPr="00000000">
              <w:rPr>
                <w:b w:val="1"/>
                <w:color w:val="000000"/>
                <w:sz w:val="28"/>
                <w:szCs w:val="28"/>
                <w:rtl w:val="0"/>
              </w:rPr>
              <w:t xml:space="preserve">Inteligentní dopravní systémy –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 Dopravní a cestovní informace (TTI) v dopravním protokolu expertní skupiny, druhá generace (TPEG2) - Část 13: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Služba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pro informace o veřejné dopravě (TPEG2-PTS)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80" w:lineRule="auto"/>
              <w:ind w:left="1" w:hanging="3"/>
              <w:jc w:val="right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sz w:val="32"/>
                <w:szCs w:val="32"/>
                <w:rtl w:val="0"/>
              </w:rPr>
              <w:t xml:space="preserve">ISO/TS 21219-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0" w:hanging="2"/>
              <w:jc w:val="righ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Rule="auto"/>
              <w:ind w:left="1" w:hanging="3"/>
              <w:jc w:val="right"/>
              <w:rPr>
                <w:color w:val="000000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01 8259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before="240" w:lineRule="auto"/>
        <w:ind w:left="1" w:hanging="3"/>
        <w:jc w:val="right"/>
        <w:rPr>
          <w:color w:val="000000"/>
        </w:rPr>
      </w:pPr>
      <w:bookmarkStart w:colFirst="0" w:colLast="0" w:name="_heading=h.1fob9te" w:id="3"/>
      <w:bookmarkEnd w:id="3"/>
      <w:r w:rsidDel="00000000" w:rsidR="00000000" w:rsidRPr="00000000">
        <w:rPr>
          <w:color w:val="000000"/>
          <w:sz w:val="28"/>
          <w:szCs w:val="28"/>
          <w:rtl w:val="0"/>
        </w:rPr>
        <w:t xml:space="preserve">Vydána 2025, 73 stran</w:t>
      </w:r>
      <w:r w:rsidDel="00000000" w:rsidR="00000000" w:rsidRPr="00000000">
        <w:rPr>
          <w:sz w:val="28"/>
          <w:szCs w:val="28"/>
          <w:rtl w:val="0"/>
        </w:rPr>
        <w:t xml:space="preserve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before="240" w:lineRule="auto"/>
        <w:ind w:left="1" w:hanging="3"/>
        <w:jc w:val="right"/>
        <w:rPr>
          <w:color w:val="000000"/>
        </w:rPr>
      </w:pPr>
      <w:bookmarkStart w:colFirst="0" w:colLast="0" w:name="_heading=h.1fob9te" w:id="3"/>
      <w:bookmarkEnd w:id="3"/>
      <w:r w:rsidDel="00000000" w:rsidR="00000000" w:rsidRPr="00000000">
        <w:rPr>
          <w:color w:val="000000"/>
          <w:sz w:val="28"/>
          <w:szCs w:val="28"/>
          <w:rtl w:val="0"/>
        </w:rPr>
        <w:t xml:space="preserve">Zavedena v ČSN jako ČSN P ISO/TS 21219-13 (vydána 2025-07)</w:t>
      </w:r>
      <w:r w:rsidDel="00000000" w:rsidR="00000000" w:rsidRPr="00000000">
        <w:rPr>
          <w:sz w:val="28"/>
          <w:szCs w:val="28"/>
          <w:rtl w:val="0"/>
        </w:rPr>
        <w:t xml:space="preserve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left="0" w:hanging="2"/>
        <w:rPr/>
      </w:pPr>
      <w:bookmarkStart w:colFirst="0" w:colLast="0" w:name="_heading=h.k2jf97lkp7ge" w:id="4"/>
      <w:bookmarkEnd w:id="4"/>
      <w:r w:rsidDel="00000000" w:rsidR="00000000" w:rsidRPr="00000000">
        <w:rPr>
          <w:rtl w:val="0"/>
        </w:rPr>
        <w:t xml:space="preserve">Úvod</w:t>
      </w:r>
    </w:p>
    <w:p w:rsidR="00000000" w:rsidDel="00000000" w:rsidP="00000000" w:rsidRDefault="00000000" w:rsidRPr="00000000" w14:paraId="00000009">
      <w:pPr>
        <w:ind w:left="0" w:hanging="2"/>
        <w:rPr/>
      </w:pPr>
      <w:r w:rsidDel="00000000" w:rsidR="00000000" w:rsidRPr="00000000">
        <w:rPr>
          <w:rtl w:val="0"/>
        </w:rPr>
        <w:t xml:space="preserve">Technická specifikace ISO 21219 stanovuje formát a protokol TPEG určený pro poskytování informací o dopravě koncovým uživatelům. TPEG je určen pro média s vysokou přenosovou kapacitou, umožňuje informace členit strukturovaně se zvyšující se mírou detailů a komplexně popisovat polohu. </w:t>
      </w:r>
    </w:p>
    <w:p w:rsidR="00000000" w:rsidDel="00000000" w:rsidP="00000000" w:rsidRDefault="00000000" w:rsidRPr="00000000" w14:paraId="0000000A">
      <w:pPr>
        <w:ind w:left="0" w:hanging="2"/>
        <w:rPr/>
      </w:pPr>
      <w:r w:rsidDel="00000000" w:rsidR="00000000" w:rsidRPr="00000000">
        <w:rPr>
          <w:rtl w:val="0"/>
        </w:rPr>
        <w:t xml:space="preserve">Jednotlivé oblasti dopravních událostí jsou v TPEG popsány odděleně, pomocí platformě nezávislého modelu (UML) a dvou odvozených platformě závislých modelů (binární a XML). Části specifikace stanovují pravidla tvorby modelu a jeho převodu do platformě závislé podoby. </w:t>
      </w:r>
    </w:p>
    <w:p w:rsidR="00000000" w:rsidDel="00000000" w:rsidP="00000000" w:rsidRDefault="00000000" w:rsidRPr="00000000" w14:paraId="0000000B">
      <w:pPr>
        <w:ind w:left="0" w:hanging="2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Více informací o kontextu TPEG je obsaženo v úvodu extraktu k části 1 normy TPEG (21219-1).</w:t>
      </w:r>
    </w:p>
    <w:p w:rsidR="00000000" w:rsidDel="00000000" w:rsidP="00000000" w:rsidRDefault="00000000" w:rsidRPr="00000000" w14:paraId="0000000C">
      <w:pPr>
        <w:ind w:left="0" w:hanging="2"/>
        <w:rPr/>
      </w:pPr>
      <w:r w:rsidDel="00000000" w:rsidR="00000000" w:rsidRPr="00000000">
        <w:rPr>
          <w:rtl w:val="0"/>
        </w:rPr>
        <w:t xml:space="preserve">Technická specifikace ISO 21219 se zabývá druhou generací protokolu TPEG, označovaným zkratkou TPEG2. Rozlišení TPEG/TPEG1/TPEG2 se většinou uvádí pouze v úvodní části norem/specifikací, zatímco ostatní kapitoly již mezi TPEG a TPEG2 nerozlišují – to je implicitní dle kontextu. </w:t>
      </w:r>
    </w:p>
    <w:p w:rsidR="00000000" w:rsidDel="00000000" w:rsidP="00000000" w:rsidRDefault="00000000" w:rsidRPr="00000000" w14:paraId="0000000D">
      <w:pPr>
        <w:ind w:left="0" w:hanging="2"/>
        <w:rPr/>
      </w:pPr>
      <w:r w:rsidDel="00000000" w:rsidR="00000000" w:rsidRPr="00000000">
        <w:rPr>
          <w:rtl w:val="0"/>
        </w:rPr>
        <w:t xml:space="preserve">Tento extrakt popisuje část 13 normy TPEG „Služba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 informace o veřejné dopravě (TPEG2-PTS)“, </w:t>
      </w:r>
      <w:r w:rsidDel="00000000" w:rsidR="00000000" w:rsidRPr="00000000">
        <w:rPr>
          <w:rtl w:val="0"/>
        </w:rPr>
        <w:t xml:space="preserve">dále jen “popisovaný dokument”, </w:t>
      </w:r>
      <w:r w:rsidDel="00000000" w:rsidR="00000000" w:rsidRPr="00000000">
        <w:rPr>
          <w:rtl w:val="0"/>
        </w:rPr>
        <w:t xml:space="preserve">která specifikuje službu pro informování cestujících veřejné dopravy.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before="24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znysh7" w:id="5"/>
      <w:bookmarkEnd w:id="5"/>
      <w:r w:rsidDel="00000000" w:rsidR="00000000" w:rsidRPr="00000000">
        <w:rPr>
          <w:i w:val="1"/>
          <w:color w:val="000000"/>
          <w:sz w:val="18"/>
          <w:szCs w:val="18"/>
          <w:rtl w:val="0"/>
        </w:rPr>
        <w:t xml:space="preserve">Poznámka: Extrakt uvádí vybrané kapitoly popisovaného dokumentu a přejímá původní číslování kapitol.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left="0" w:hanging="2"/>
        <w:rPr/>
      </w:pPr>
      <w:bookmarkStart w:colFirst="0" w:colLast="0" w:name="_heading=h.p5uplw5j229a" w:id="6"/>
      <w:bookmarkEnd w:id="6"/>
      <w:r w:rsidDel="00000000" w:rsidR="00000000" w:rsidRPr="00000000">
        <w:rPr>
          <w:rtl w:val="0"/>
        </w:rPr>
        <w:t xml:space="preserve">Užití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hanging="2"/>
        <w:rPr/>
      </w:pPr>
      <w:r w:rsidDel="00000000" w:rsidR="00000000" w:rsidRPr="00000000">
        <w:rPr>
          <w:rtl w:val="0"/>
        </w:rPr>
        <w:t xml:space="preserve">Popisovaný dokument stanovuje</w:t>
      </w:r>
      <w:r w:rsidDel="00000000" w:rsidR="00000000" w:rsidRPr="00000000">
        <w:rPr>
          <w:rtl w:val="0"/>
        </w:rPr>
        <w:t xml:space="preserve"> datovou strukturu aplikace </w:t>
      </w:r>
      <w:r w:rsidDel="00000000" w:rsidR="00000000" w:rsidRPr="00000000">
        <w:rPr>
          <w:rtl w:val="0"/>
        </w:rPr>
        <w:t xml:space="preserve">TPEG2-PTS včetně příkazů pro komunikaci se serverem a uvádí praktické příklady. Dokument použijí zejména analytici a vývojáři poskytovatele veřejné dopravy, poskytovatele služby a výrobce </w:t>
      </w:r>
      <w:r w:rsidDel="00000000" w:rsidR="00000000" w:rsidRPr="00000000">
        <w:rPr>
          <w:rtl w:val="0"/>
        </w:rPr>
        <w:t xml:space="preserve">koncových uživatelských zařízení při návrhu a výrobě SW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1">
      <w:pPr>
        <w:pStyle w:val="Heading1"/>
        <w:ind w:left="0" w:hanging="2"/>
        <w:rPr/>
      </w:pPr>
      <w:bookmarkStart w:colFirst="0" w:colLast="0" w:name="_heading=h.8kdf5wup1at0" w:id="7"/>
      <w:bookmarkEnd w:id="7"/>
      <w:r w:rsidDel="00000000" w:rsidR="00000000" w:rsidRPr="00000000">
        <w:rPr>
          <w:rtl w:val="0"/>
        </w:rPr>
        <w:t xml:space="preserve">Souvisící normy</w:t>
      </w:r>
    </w:p>
    <w:p w:rsidR="00000000" w:rsidDel="00000000" w:rsidP="00000000" w:rsidRDefault="00000000" w:rsidRPr="00000000" w14:paraId="00000012">
      <w:pPr>
        <w:ind w:left="0" w:hanging="2"/>
        <w:rPr/>
      </w:pPr>
      <w:r w:rsidDel="00000000" w:rsidR="00000000" w:rsidRPr="00000000">
        <w:rPr>
          <w:rtl w:val="0"/>
        </w:rPr>
        <w:t xml:space="preserve">Popisovaný dokument uvádí normativní odkazy na normy ISO 21219-1 (úvod, číslování a verze), ISO 21219-7 (kontejner pro odkazování na polohu), ISO 21219-9 (informace o službách a sítích), ISO 21219-14 (informace o parkování) a ISO 21219-15 (ucelené informace o dopravních událostech).</w:t>
      </w:r>
    </w:p>
    <w:p w:rsidR="00000000" w:rsidDel="00000000" w:rsidP="00000000" w:rsidRDefault="00000000" w:rsidRPr="00000000" w14:paraId="00000013">
      <w:pPr>
        <w:pStyle w:val="Heading1"/>
        <w:ind w:left="0" w:hanging="2"/>
        <w:rPr/>
      </w:pPr>
      <w:bookmarkStart w:colFirst="0" w:colLast="0" w:name="_heading=h.exlj16mcv1lp" w:id="8"/>
      <w:bookmarkEnd w:id="8"/>
      <w:r w:rsidDel="00000000" w:rsidR="00000000" w:rsidRPr="00000000">
        <w:rPr>
          <w:rtl w:val="0"/>
        </w:rPr>
        <w:t xml:space="preserve">1 Předmět</w:t>
      </w:r>
    </w:p>
    <w:p w:rsidR="00000000" w:rsidDel="00000000" w:rsidP="00000000" w:rsidRDefault="00000000" w:rsidRPr="00000000" w14:paraId="00000014">
      <w:pPr>
        <w:ind w:left="0" w:hanging="2"/>
        <w:rPr/>
      </w:pPr>
      <w:r w:rsidDel="00000000" w:rsidR="00000000" w:rsidRPr="00000000">
        <w:rPr>
          <w:rtl w:val="0"/>
        </w:rPr>
        <w:t xml:space="preserve">Popisovaný dokument TPEG2-PTS (dále jen PTS) se zaměřuje specifikaci služby poskytování informací o veřejné dopravě, jazykově nezávislé a pokrývající všechny druhy meziměstské i městské dopravy. Zaměřuje se na tři hlavní případy užití: </w:t>
      </w:r>
      <w:r w:rsidDel="00000000" w:rsidR="00000000" w:rsidRPr="00000000">
        <w:rPr>
          <w:b w:val="1"/>
          <w:rtl w:val="0"/>
        </w:rPr>
        <w:t xml:space="preserve">Informace o </w:t>
      </w:r>
      <w:r w:rsidDel="00000000" w:rsidR="00000000" w:rsidRPr="00000000">
        <w:rPr>
          <w:b w:val="1"/>
          <w:rtl w:val="0"/>
        </w:rPr>
        <w:t xml:space="preserve">výstrahách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Informace o jízdních řádech</w:t>
      </w:r>
      <w:r w:rsidDel="00000000" w:rsidR="00000000" w:rsidRPr="00000000">
        <w:rPr>
          <w:rtl w:val="0"/>
        </w:rPr>
        <w:t xml:space="preserve">, jak plánovaných, tak v reálném čase a </w:t>
      </w:r>
      <w:r w:rsidDel="00000000" w:rsidR="00000000" w:rsidRPr="00000000">
        <w:rPr>
          <w:b w:val="1"/>
          <w:rtl w:val="0"/>
        </w:rPr>
        <w:t xml:space="preserve">Individuální požadavky na informace o cestě. </w:t>
      </w:r>
      <w:r w:rsidDel="00000000" w:rsidR="00000000" w:rsidRPr="00000000">
        <w:rPr>
          <w:rtl w:val="0"/>
        </w:rPr>
        <w:t xml:space="preserve">Na rozdíl od prvních dvou vyžaduje poslední případ užití obousměrnou komunikaci </w:t>
      </w:r>
      <w:r w:rsidDel="00000000" w:rsidR="00000000" w:rsidRPr="00000000">
        <w:rPr>
          <w:rtl w:val="0"/>
        </w:rPr>
        <w:t xml:space="preserve">vyžadující zpětný kanál. </w:t>
      </w:r>
      <w:r w:rsidDel="00000000" w:rsidR="00000000" w:rsidRPr="00000000">
        <w:rPr>
          <w:rtl w:val="0"/>
        </w:rPr>
        <w:t xml:space="preserve">Aplikace PTS neposkytuje informace o jízdném.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hanging="2"/>
        <w:rPr/>
      </w:pPr>
      <w:r w:rsidDel="00000000" w:rsidR="00000000" w:rsidRPr="00000000">
        <w:rPr>
          <w:rtl w:val="0"/>
        </w:rPr>
        <w:t xml:space="preserve">POZN: Termíny služba, aplikace a struktura jsou zaměňovány, kontextu TPEG totiž znamenají totéž.</w:t>
      </w:r>
    </w:p>
    <w:p w:rsidR="00000000" w:rsidDel="00000000" w:rsidP="00000000" w:rsidRDefault="00000000" w:rsidRPr="00000000" w14:paraId="00000016">
      <w:pPr>
        <w:ind w:hanging="2"/>
        <w:rPr/>
      </w:pPr>
      <w:r w:rsidDel="00000000" w:rsidR="00000000" w:rsidRPr="00000000">
        <w:rPr>
          <w:rtl w:val="0"/>
        </w:rPr>
        <w:t xml:space="preserve">POZN: Normy TPEG jsou strukturovány hierarchicky: nejprve začínají schématem (úroveň 0), poté definují jednotlivé komponenty (úroveň 1), ve kterých jsou použity datové typy a struktury (úroveň 2). Toto se odráží na struktuře kapitol norem, která je pro všechny normy TPEG stejná.</w:t>
      </w:r>
    </w:p>
    <w:p w:rsidR="00000000" w:rsidDel="00000000" w:rsidP="00000000" w:rsidRDefault="00000000" w:rsidRPr="00000000" w14:paraId="00000017">
      <w:pPr>
        <w:pStyle w:val="Heading1"/>
        <w:ind w:left="0" w:hanging="2"/>
        <w:rPr/>
      </w:pPr>
      <w:r w:rsidDel="00000000" w:rsidR="00000000" w:rsidRPr="00000000">
        <w:rPr>
          <w:rtl w:val="0"/>
        </w:rPr>
        <w:t xml:space="preserve">3 Termíny a definice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tyjcwt" w:id="9"/>
      <w:bookmarkEnd w:id="9"/>
      <w:r w:rsidDel="00000000" w:rsidR="00000000" w:rsidRPr="00000000">
        <w:rPr>
          <w:color w:val="000000"/>
          <w:rtl w:val="0"/>
        </w:rPr>
        <w:t xml:space="preserve">Tato kapitola definuje 15 termínů, jedná se zejména o názvy atributů. Například: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Trasa</w:t>
      </w:r>
      <w:r w:rsidDel="00000000" w:rsidR="00000000" w:rsidRPr="00000000">
        <w:rPr>
          <w:color w:val="000000"/>
          <w:rtl w:val="0"/>
        </w:rPr>
        <w:t xml:space="preserve"> (</w:t>
      </w:r>
      <w:r w:rsidDel="00000000" w:rsidR="00000000" w:rsidRPr="00000000">
        <w:rPr>
          <w:i w:val="1"/>
          <w:color w:val="000000"/>
          <w:rtl w:val="0"/>
        </w:rPr>
        <w:t xml:space="preserve">Route</w:t>
      </w:r>
      <w:r w:rsidDel="00000000" w:rsidR="00000000" w:rsidRPr="00000000">
        <w:rPr>
          <w:color w:val="000000"/>
          <w:rtl w:val="0"/>
        </w:rPr>
        <w:t xml:space="preserve">) - uspořádaný seznam umístěných bodů, které vymezují jednu trasu v silniční (nebo železniční) síti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StopPlace</w:t>
      </w:r>
      <w:r w:rsidDel="00000000" w:rsidR="00000000" w:rsidRPr="00000000">
        <w:rPr>
          <w:color w:val="000000"/>
          <w:rtl w:val="0"/>
        </w:rPr>
        <w:t xml:space="preserve"> (S</w:t>
      </w:r>
      <w:r w:rsidDel="00000000" w:rsidR="00000000" w:rsidRPr="00000000">
        <w:rPr>
          <w:i w:val="1"/>
          <w:color w:val="000000"/>
          <w:rtl w:val="0"/>
        </w:rPr>
        <w:t xml:space="preserve">topPlace</w:t>
      </w:r>
      <w:r w:rsidDel="00000000" w:rsidR="00000000" w:rsidRPr="00000000">
        <w:rPr>
          <w:color w:val="000000"/>
          <w:rtl w:val="0"/>
        </w:rPr>
        <w:t xml:space="preserve">) - jedno nebo více míst, kde mohou vozidla zastavit a kde mohou cestující nastoupit nebo vystoupit z vozidel nebo se připravit na cestu, a která budou mít obvykle jeden nebo více známých názvů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plikace </w:t>
      </w:r>
      <w:r w:rsidDel="00000000" w:rsidR="00000000" w:rsidRPr="00000000">
        <w:rPr>
          <w:rtl w:val="0"/>
        </w:rPr>
        <w:t xml:space="preserve">(application) - </w:t>
      </w:r>
      <w:r w:rsidDel="00000000" w:rsidR="00000000" w:rsidRPr="00000000">
        <w:rPr>
          <w:rtl w:val="0"/>
        </w:rPr>
        <w:t xml:space="preserve">v TPEG specifikacích označuje konkrétní podmnožiny TPEG struktury; definuje slovníky pro určitý typ zpráv, například informace o parkování nebo dopravě; každá TPEG aplikace má unikátní číslo, tzv. AID</w:t>
      </w:r>
    </w:p>
    <w:p w:rsidR="00000000" w:rsidDel="00000000" w:rsidP="00000000" w:rsidRDefault="00000000" w:rsidRPr="00000000" w14:paraId="0000001C">
      <w:pPr>
        <w:pStyle w:val="Heading1"/>
        <w:ind w:left="0" w:hanging="2"/>
        <w:rPr/>
      </w:pPr>
      <w:bookmarkStart w:colFirst="0" w:colLast="0" w:name="_heading=h.k2373fclpmbw" w:id="10"/>
      <w:bookmarkEnd w:id="10"/>
      <w:r w:rsidDel="00000000" w:rsidR="00000000" w:rsidRPr="00000000">
        <w:rPr>
          <w:rtl w:val="0"/>
        </w:rPr>
        <w:t xml:space="preserve">4 Zkratky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i w:val="1"/>
        </w:rPr>
      </w:pPr>
      <w:r w:rsidDel="00000000" w:rsidR="00000000" w:rsidRPr="00000000">
        <w:rPr>
          <w:color w:val="000000"/>
          <w:rtl w:val="0"/>
        </w:rPr>
        <w:t xml:space="preserve">Tato kapitola stanovuje 1 zkratku, OJP, která však není v textu normy použita. </w:t>
      </w:r>
      <w:r w:rsidDel="00000000" w:rsidR="00000000" w:rsidRPr="00000000">
        <w:rPr>
          <w:rtl w:val="0"/>
        </w:rPr>
        <w:t xml:space="preserve">Další zkratky uvádí </w:t>
      </w:r>
      <w:r w:rsidDel="00000000" w:rsidR="00000000" w:rsidRPr="00000000">
        <w:rPr>
          <w:color w:val="000000"/>
          <w:rtl w:val="0"/>
        </w:rPr>
        <w:t xml:space="preserve">odkazem na </w:t>
      </w:r>
      <w:r w:rsidDel="00000000" w:rsidR="00000000" w:rsidRPr="00000000">
        <w:rPr>
          <w:color w:val="000000"/>
          <w:rtl w:val="0"/>
        </w:rPr>
        <w:t xml:space="preserve">další </w:t>
      </w:r>
      <w:r w:rsidDel="00000000" w:rsidR="00000000" w:rsidRPr="00000000">
        <w:rPr>
          <w:color w:val="000000"/>
          <w:rtl w:val="0"/>
        </w:rPr>
        <w:t xml:space="preserve">normy (viz souvisící normy). Zkratka důležitá z pohledu tohoto extraktu je: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hanging="2"/>
        <w:rPr>
          <w:b w:val="1"/>
        </w:rPr>
      </w:pPr>
      <w:r w:rsidDel="00000000" w:rsidR="00000000" w:rsidRPr="00000000">
        <w:rPr>
          <w:b w:val="1"/>
          <w:rtl w:val="0"/>
        </w:rPr>
        <w:t xml:space="preserve">PTS</w:t>
      </w: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Služba informací o veřejné dopravě </w:t>
      </w:r>
      <w:r w:rsidDel="00000000" w:rsidR="00000000" w:rsidRPr="00000000">
        <w:rPr>
          <w:i w:val="1"/>
          <w:rtl w:val="0"/>
        </w:rPr>
        <w:t xml:space="preserve">(Public transport information service)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i w:val="1"/>
          <w:color w:val="000000"/>
          <w:sz w:val="18"/>
          <w:szCs w:val="18"/>
          <w:rtl w:val="0"/>
        </w:rPr>
        <w:t xml:space="preserve">Poznámka: Další termíny a zkratky z oboru ITS jsou obsaženy ve slovníku ITS terminology (</w:t>
      </w:r>
      <w:hyperlink r:id="rId8">
        <w:r w:rsidDel="00000000" w:rsidR="00000000" w:rsidRPr="00000000">
          <w:rPr>
            <w:i w:val="1"/>
            <w:color w:val="000000"/>
            <w:sz w:val="18"/>
            <w:szCs w:val="18"/>
            <w:rtl w:val="0"/>
          </w:rPr>
          <w:t xml:space="preserve">www.itsterminology.org</w:t>
        </w:r>
      </w:hyperlink>
      <w:r w:rsidDel="00000000" w:rsidR="00000000" w:rsidRPr="00000000">
        <w:rPr>
          <w:i w:val="1"/>
          <w:color w:val="000000"/>
          <w:sz w:val="18"/>
          <w:szCs w:val="1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ind w:left="0" w:hanging="2"/>
        <w:rPr/>
      </w:pPr>
      <w:bookmarkStart w:colFirst="0" w:colLast="0" w:name="_heading=h.qfqfpgofc94p" w:id="11"/>
      <w:bookmarkEnd w:id="11"/>
      <w:r w:rsidDel="00000000" w:rsidR="00000000" w:rsidRPr="00000000">
        <w:rPr>
          <w:rtl w:val="0"/>
        </w:rPr>
        <w:t xml:space="preserve">5 Podmínky a omezení </w:t>
      </w:r>
      <w:r w:rsidDel="00000000" w:rsidR="00000000" w:rsidRPr="00000000">
        <w:rPr>
          <w:rtl w:val="0"/>
        </w:rPr>
        <w:t xml:space="preserve">aplikace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1t3h5sf" w:id="12"/>
      <w:bookmarkEnd w:id="12"/>
      <w:r w:rsidDel="00000000" w:rsidR="00000000" w:rsidRPr="00000000">
        <w:rPr>
          <w:color w:val="000000"/>
          <w:rtl w:val="0"/>
        </w:rPr>
        <w:t xml:space="preserve">Tato kapitola (rozsah 1,5 strany) </w:t>
      </w:r>
      <w:r w:rsidDel="00000000" w:rsidR="00000000" w:rsidRPr="00000000">
        <w:rPr>
          <w:rtl w:val="0"/>
        </w:rPr>
        <w:t xml:space="preserve">vymezuje </w:t>
      </w:r>
      <w:r w:rsidDel="00000000" w:rsidR="00000000" w:rsidRPr="00000000">
        <w:rPr>
          <w:rtl w:val="0"/>
        </w:rPr>
        <w:t xml:space="preserve">termín aplikace (viz termíny a definice) a to, že identifikátor aplikace PTS je stanovený 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TS 21219-1. </w:t>
      </w:r>
      <w:r w:rsidDel="00000000" w:rsidR="00000000" w:rsidRPr="00000000">
        <w:rPr>
          <w:rtl w:val="0"/>
        </w:rPr>
        <w:t xml:space="preserve">Kapitola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stanovuje </w:t>
      </w:r>
      <w:r w:rsidDel="00000000" w:rsidR="00000000" w:rsidRPr="00000000">
        <w:rPr>
          <w:b w:val="1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erzi aplikace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která je klíčová z pohledu dekodéru, jednotlivé verze stejné aplikace se totiž mohou od sebe lišit strukturou</w:t>
      </w:r>
      <w:r w:rsidDel="00000000" w:rsidR="00000000" w:rsidRPr="00000000">
        <w:rPr>
          <w:rtl w:val="0"/>
        </w:rPr>
        <w:t xml:space="preserve"> č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obsahem. Určuje </w:t>
      </w: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ořadí kontejnerů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ze kterých je zpráva složena, tedy z kontejner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 management zpráv (MMC), pro popis aplikace (ADC) a pro odkazování na polohu (LRC).</w:t>
      </w:r>
      <w:r w:rsidDel="00000000" w:rsidR="00000000" w:rsidRPr="00000000">
        <w:rPr>
          <w:rtl w:val="0"/>
        </w:rPr>
        <w:t xml:space="preserve"> Uvádí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požadavek na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zpětnou kompatibilitu</w:t>
      </w:r>
      <w:r w:rsidDel="00000000" w:rsidR="00000000" w:rsidRPr="00000000">
        <w:rPr>
          <w:rtl w:val="0"/>
        </w:rPr>
        <w:t xml:space="preserve"> dekodérů,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přeskočením neznámých částí zprávy dekodérem</w:t>
      </w:r>
      <w:r w:rsidDel="00000000" w:rsidR="00000000" w:rsidRPr="00000000">
        <w:rPr>
          <w:rtl w:val="0"/>
        </w:rPr>
        <w:t xml:space="preserve">. Vymezuje použití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rámce komponent služby TPEG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dle ISO/TS 21219-5.</w:t>
      </w:r>
    </w:p>
    <w:p w:rsidR="00000000" w:rsidDel="00000000" w:rsidP="00000000" w:rsidRDefault="00000000" w:rsidRPr="00000000" w14:paraId="00000022">
      <w:pPr>
        <w:pStyle w:val="Heading1"/>
        <w:ind w:left="0" w:hanging="2"/>
        <w:rPr/>
      </w:pPr>
      <w:bookmarkStart w:colFirst="0" w:colLast="0" w:name="_heading=h.70y3xb1dvgqi" w:id="13"/>
      <w:bookmarkEnd w:id="13"/>
      <w:r w:rsidDel="00000000" w:rsidR="00000000" w:rsidRPr="00000000">
        <w:rPr>
          <w:rtl w:val="0"/>
        </w:rPr>
        <w:t xml:space="preserve">6 </w:t>
      </w:r>
      <w:r w:rsidDel="00000000" w:rsidR="00000000" w:rsidRPr="00000000">
        <w:rPr>
          <w:rtl w:val="0"/>
        </w:rPr>
        <w:t xml:space="preserve">Struktura zprávy 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bookmarkStart w:colFirst="0" w:colLast="0" w:name="_heading=h.4d34og8" w:id="14"/>
      <w:bookmarkEnd w:id="14"/>
      <w:r w:rsidDel="00000000" w:rsidR="00000000" w:rsidRPr="00000000">
        <w:rPr>
          <w:color w:val="000000"/>
          <w:rtl w:val="0"/>
        </w:rPr>
        <w:t xml:space="preserve">Tato kapitola (rozsah 2 strany, 2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color w:val="000000"/>
          <w:rtl w:val="0"/>
        </w:rPr>
        <w:t xml:space="preserve">brázky) obsahuje UML model zprávy aplikace </w:t>
      </w:r>
      <w:r w:rsidDel="00000000" w:rsidR="00000000" w:rsidRPr="00000000">
        <w:rPr>
          <w:rtl w:val="0"/>
        </w:rPr>
        <w:t xml:space="preserve">PTS a jedné další součásti.</w:t>
      </w:r>
    </w:p>
    <w:p w:rsidR="00000000" w:rsidDel="00000000" w:rsidP="00000000" w:rsidRDefault="00000000" w:rsidRPr="00000000" w14:paraId="00000024">
      <w:pPr>
        <w:pStyle w:val="Heading1"/>
        <w:ind w:left="0" w:hanging="2"/>
        <w:rPr/>
      </w:pPr>
      <w:bookmarkStart w:colFirst="0" w:colLast="0" w:name="_heading=h.zeeuw5iep7ap" w:id="15"/>
      <w:bookmarkEnd w:id="15"/>
      <w:r w:rsidDel="00000000" w:rsidR="00000000" w:rsidRPr="00000000">
        <w:rPr>
          <w:rtl w:val="0"/>
        </w:rPr>
        <w:t xml:space="preserve">7 Komponenty zprávy PTS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r w:rsidDel="00000000" w:rsidR="00000000" w:rsidRPr="00000000">
        <w:rPr>
          <w:color w:val="000000"/>
          <w:rtl w:val="0"/>
        </w:rPr>
        <w:t xml:space="preserve">Tato kapitola (rozsah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 stran, 9 tabulek) popisuje jednotlivé komponenty zprávy </w:t>
      </w:r>
      <w:r w:rsidDel="00000000" w:rsidR="00000000" w:rsidRPr="00000000">
        <w:rPr>
          <w:rtl w:val="0"/>
        </w:rPr>
        <w:t xml:space="preserve">PTS</w:t>
      </w:r>
      <w:r w:rsidDel="00000000" w:rsidR="00000000" w:rsidRPr="00000000">
        <w:rPr>
          <w:color w:val="000000"/>
          <w:rtl w:val="0"/>
        </w:rPr>
        <w:t xml:space="preserve">. </w:t>
      </w:r>
      <w:r w:rsidDel="00000000" w:rsidR="00000000" w:rsidRPr="00000000">
        <w:rPr>
          <w:rtl w:val="0"/>
        </w:rPr>
        <w:t xml:space="preserve">Stanovuje pro </w:t>
      </w:r>
      <w:r w:rsidDel="00000000" w:rsidR="00000000" w:rsidRPr="00000000">
        <w:rPr>
          <w:rtl w:val="0"/>
        </w:rPr>
        <w:t xml:space="preserve">zprávu</w:t>
      </w:r>
      <w:r w:rsidDel="00000000" w:rsidR="00000000" w:rsidRPr="00000000">
        <w:rPr>
          <w:rtl w:val="0"/>
        </w:rPr>
        <w:t xml:space="preserve"> PTS její základní strukturu „PTSMessage“ která obsahuje následující komponenty: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mmc: </w:t>
      </w:r>
      <w:r w:rsidDel="00000000" w:rsidR="00000000" w:rsidRPr="00000000"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umožňuje flexibilní použití monolitického nebo modulárního řízení zpráv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ptRequest: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přenos požadavku na informace o veřejné dopravě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alert: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přenos informací o upozorněn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stopEvent: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přenos informací o odjezdu/příjezdu (jízdní řád) pro linku či pro zastávky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tripInfoResponse: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přenos odpovědi na požadavek na informace o cestě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18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přenos informací o poloze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bookmarkStart w:colFirst="0" w:colLast="0" w:name="_heading=h.17dp8vu" w:id="16"/>
      <w:bookmarkEnd w:id="16"/>
      <w:r w:rsidDel="00000000" w:rsidR="00000000" w:rsidRPr="00000000">
        <w:rPr>
          <w:rtl w:val="0"/>
        </w:rPr>
        <w:t xml:space="preserve">Dále následují příklady 2 komponent (celkem je v normě stanoveno 16 komponent či sub-komponent).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bookmarkStart w:colFirst="0" w:colLast="0" w:name="_heading=h.5m2avg7m9scv" w:id="17"/>
      <w:bookmarkEnd w:id="17"/>
      <w:r w:rsidDel="00000000" w:rsidR="00000000" w:rsidRPr="00000000">
        <w:rPr>
          <w:rtl w:val="0"/>
        </w:rPr>
        <w:t xml:space="preserve">PŘÍKLAD 1: Komponenta </w:t>
      </w:r>
      <w:r w:rsidDel="00000000" w:rsidR="00000000" w:rsidRPr="00000000">
        <w:rPr>
          <w:b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, typu GeoLocation, popisuje místo, pro kterou jsou informace </w:t>
      </w:r>
      <w:r w:rsidDel="00000000" w:rsidR="00000000" w:rsidRPr="00000000">
        <w:rPr>
          <w:rtl w:val="0"/>
        </w:rPr>
        <w:t xml:space="preserve">určeny</w:t>
      </w:r>
      <w:r w:rsidDel="00000000" w:rsidR="00000000" w:rsidRPr="00000000">
        <w:rPr>
          <w:rtl w:val="0"/>
        </w:rPr>
        <w:t xml:space="preserve">, např. letiště, železniční stanice, oblast, město, linka.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r w:rsidDel="00000000" w:rsidR="00000000" w:rsidRPr="00000000">
        <w:rPr>
          <w:rtl w:val="0"/>
        </w:rPr>
        <w:t xml:space="preserve">PŘÍKLAD 2: Komponenta </w:t>
      </w:r>
      <w:r w:rsidDel="00000000" w:rsidR="00000000" w:rsidRPr="00000000">
        <w:rPr>
          <w:b w:val="1"/>
          <w:rtl w:val="0"/>
        </w:rPr>
        <w:t xml:space="preserve">ptRequest</w:t>
      </w:r>
      <w:r w:rsidDel="00000000" w:rsidR="00000000" w:rsidRPr="00000000">
        <w:rPr>
          <w:rtl w:val="0"/>
        </w:rPr>
        <w:t xml:space="preserve"> slouží pro přenos požadavku na informace o veřejné dopravě, může obsahovat AlertRequest, StopEventRequest nebo TripInfoRequest. Struktura StopEventRequest slouží pro přenos požadavku na odjezdy/příjezdy ze zastávky (jízdní řád nebo odjezdová tabule), viz obrázek č 1.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/>
      </w:pPr>
      <w:r w:rsidDel="00000000" w:rsidR="00000000" w:rsidRPr="00000000">
        <w:rPr/>
        <w:drawing>
          <wp:inline distB="0" distT="0" distL="0" distR="0">
            <wp:extent cx="5182729" cy="2357137"/>
            <wp:effectExtent b="0" l="0" r="0" t="0"/>
            <wp:docPr id="10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2729" cy="2357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0" w:hanging="2"/>
        <w:jc w:val="center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Obrázek 1 – </w:t>
      </w: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snímek</w:t>
      </w: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 celé tabulky specifikující strukturu komponenty StopEventRequest (tabulka 4 normy)</w:t>
      </w:r>
    </w:p>
    <w:p w:rsidR="00000000" w:rsidDel="00000000" w:rsidP="00000000" w:rsidRDefault="00000000" w:rsidRPr="00000000" w14:paraId="0000003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 Datové typy </w:t>
      </w:r>
      <w:r w:rsidDel="00000000" w:rsidR="00000000" w:rsidRPr="00000000">
        <w:rPr>
          <w:b w:val="1"/>
          <w:sz w:val="22"/>
          <w:szCs w:val="22"/>
          <w:rtl w:val="0"/>
        </w:rPr>
        <w:t xml:space="preserve">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/>
      </w:pPr>
      <w:bookmarkStart w:colFirst="0" w:colLast="0" w:name="_heading=h.lnxbz9" w:id="18"/>
      <w:bookmarkEnd w:id="18"/>
      <w:r w:rsidDel="00000000" w:rsidR="00000000" w:rsidRPr="00000000">
        <w:rPr>
          <w:color w:val="000000"/>
          <w:rtl w:val="0"/>
        </w:rPr>
        <w:t xml:space="preserve">Tato kapitola (</w:t>
      </w:r>
      <w:r w:rsidDel="00000000" w:rsidR="00000000" w:rsidRPr="00000000">
        <w:rPr>
          <w:rtl w:val="0"/>
        </w:rPr>
        <w:t xml:space="preserve">rozsah 5 stran, 14 tabulek) obsahuje definice 13 použitých datových struktur (typů):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AlertFor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popisuje objekt, pro který je vydáno upozornění (např. zastávka, linka, trasa)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LineIdentity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popis linky, včetně názvu a identifikátoru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CallAtStopForLine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informace o událostech odjezdu/příjezdu pro určitou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linku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CallAtStopForPlace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informace o událostech odjezdu/příjezdu pro určitou zastávku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CallAtStopInfo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stav služby, plánované nebo odhadované časy odjezdu/příjezdu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OperatorContact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kontaktní informace pro operátora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PtServiceDescription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popis veřejné dopravní služby, včetně režimu a operátora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seznam zastávek na trase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StopPlace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popis místa, kde mohou vozidla zastavit, včetně typu a přístupových funkcí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StopPoint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součást StopPlace obsahující typ, název a ID místa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TimeInfo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plánované nebo skutečné časy odjezdu/příjezdu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TripLegStructure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popis úseku cesty, včetně linky a časových informací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TripPreferences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preference uživatele pro výpočet cesty, včetně přístupových požadavků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rtl w:val="0"/>
        </w:rPr>
        <w:t xml:space="preserve">Datové struktury se skládají ze složitých či jednoduchých datových objektů a tvoří základ komponent, popsaných v kapitole výše</w:t>
      </w:r>
      <w:r w:rsidDel="00000000" w:rsidR="00000000" w:rsidRPr="00000000">
        <w:rPr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 Tabulky </w:t>
      </w:r>
      <w:r w:rsidDel="00000000" w:rsidR="00000000" w:rsidRPr="00000000">
        <w:rPr>
          <w:b w:val="1"/>
          <w:sz w:val="22"/>
          <w:szCs w:val="22"/>
          <w:rtl w:val="0"/>
        </w:rPr>
        <w:t xml:space="preserve">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kapitola (rozsah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color w:val="000000"/>
          <w:rtl w:val="0"/>
        </w:rPr>
        <w:t xml:space="preserve"> stran) obsahuje definice 21 výčtových typů aplikace </w:t>
      </w:r>
      <w:r w:rsidDel="00000000" w:rsidR="00000000" w:rsidRPr="00000000">
        <w:rPr>
          <w:rtl w:val="0"/>
        </w:rPr>
        <w:t xml:space="preserve">PTS</w:t>
      </w:r>
      <w:r w:rsidDel="00000000" w:rsidR="00000000" w:rsidRPr="00000000">
        <w:rPr>
          <w:color w:val="000000"/>
          <w:rtl w:val="0"/>
        </w:rPr>
        <w:t xml:space="preserve"> (v 21 tabulkách), použitých v datových strukturách popsaných v kapitole výše. Následující tabulka jmenovitě uvádí jednotlivé tabulky (výčtové typy) a doplňuje je popisem a příkladem obsahu.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0" w:hanging="2"/>
        <w:jc w:val="center"/>
        <w:rPr>
          <w:b w:val="1"/>
          <w:color w:val="000000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Tabulka 1 - Seznam tabulek PTS (výčtů hodnot) (zdroj: autor extraktu)</w:t>
      </w:r>
    </w:p>
    <w:tbl>
      <w:tblPr>
        <w:tblStyle w:val="Table2"/>
        <w:tblW w:w="8757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2969"/>
        <w:gridCol w:w="3119"/>
        <w:gridCol w:w="2669"/>
        <w:tblGridChange w:id="0">
          <w:tblGrid>
            <w:gridCol w:w="2969"/>
            <w:gridCol w:w="3119"/>
            <w:gridCol w:w="26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Název tabulky PTS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Definice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Příklad</w:t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pts001: ModeOfTransport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 dopravního prostředku/linky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Bus service, railway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pts017: ServiceDeliveryPointType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 místa poskytování služby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Platform number, terminal gate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pts030: ContactType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 kontaktu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Internet link, telephone number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pts036: AlertForType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 entity, pro kterou je vydáno upozornění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Stopplace, 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pts037: AlertEvent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Událost upozornění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Closed, delays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pts038: AlertCause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Příčina upozornění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Security alert, fire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pts039: AdviceType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pokynu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replacement bus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pts040: AccessFeatureType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 přístupového zařízení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Single step, elevator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pts041: StopPlaceType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 zastávky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Railway station, bus station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pts042: FacilityType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 zařízení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Ticket shop, toilets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pts043: ServiceStatus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Stav služby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Delay, on 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pts044: StopPlaceUsage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Použití zastávky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Origin, destination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pts045: Occupancy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Obsazenost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Many seats available, full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pts100: SubmodeOfTransport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Podtyp dopravního prostředku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International air service, </w:t>
            </w:r>
          </w:p>
        </w:tc>
      </w:tr>
    </w:tbl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Následující tabulka </w:t>
      </w:r>
      <w:r w:rsidDel="00000000" w:rsidR="00000000" w:rsidRPr="00000000">
        <w:rPr>
          <w:rtl w:val="0"/>
        </w:rPr>
        <w:t xml:space="preserve">obsahuje ukázku tabulky „pts040:AccessFeatureType” z popisovaného</w:t>
      </w:r>
      <w:r w:rsidDel="00000000" w:rsidR="00000000" w:rsidRPr="00000000">
        <w:rPr>
          <w:color w:val="000000"/>
          <w:rtl w:val="0"/>
        </w:rPr>
        <w:t xml:space="preserve"> dokumentu.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0" w:hanging="2"/>
        <w:jc w:val="center"/>
        <w:rPr>
          <w:b w:val="1"/>
          <w:color w:val="000000"/>
          <w:sz w:val="18"/>
          <w:szCs w:val="18"/>
        </w:rPr>
      </w:pPr>
      <w:bookmarkStart w:colFirst="0" w:colLast="0" w:name="_heading=h.wpo5mx1gy36r" w:id="19"/>
      <w:bookmarkEnd w:id="19"/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Tabulka 2 -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Příklad </w:t>
      </w:r>
      <w:r w:rsidDel="00000000" w:rsidR="00000000" w:rsidRPr="00000000">
        <w:rPr>
          <w:b w:val="1"/>
          <w:color w:val="000000"/>
          <w:sz w:val="18"/>
          <w:szCs w:val="18"/>
          <w:u w:val="single"/>
          <w:rtl w:val="0"/>
        </w:rPr>
        <w:t xml:space="preserve">části </w:t>
      </w: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definice výčtového typu pts040:AccessFeatureType doplněný o překlad </w:t>
      </w:r>
      <w:r w:rsidDel="00000000" w:rsidR="00000000" w:rsidRPr="00000000">
        <w:rPr>
          <w:b w:val="1"/>
          <w:sz w:val="18"/>
          <w:szCs w:val="18"/>
          <w:rtl w:val="0"/>
        </w:rPr>
        <w:t xml:space="preserve">frází</w:t>
      </w:r>
      <w:r w:rsidDel="00000000" w:rsidR="00000000" w:rsidRPr="00000000">
        <w:rPr>
          <w:rtl w:val="0"/>
        </w:rPr>
      </w:r>
    </w:p>
    <w:tbl>
      <w:tblPr>
        <w:tblStyle w:val="Table3"/>
        <w:tblW w:w="8923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985"/>
        <w:gridCol w:w="3118"/>
        <w:gridCol w:w="4820"/>
        <w:tblGridChange w:id="0">
          <w:tblGrid>
            <w:gridCol w:w="985"/>
            <w:gridCol w:w="3118"/>
            <w:gridCol w:w="48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Kód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fráze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řeklad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neznámý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single step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jeden schod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stairs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schody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escalator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eskalátor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moving walkway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pohyblivý chodník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… zkráceno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.0" w:type="dxa"/>
              <w:left w:w="75.0" w:type="dxa"/>
              <w:bottom w:w="15.0" w:type="dxa"/>
              <w:right w:w="7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bookmarkStart w:colFirst="0" w:colLast="0" w:name="_heading=h.35nkun2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Příloha A (</w:t>
      </w:r>
      <w:r w:rsidDel="00000000" w:rsidR="00000000" w:rsidRPr="00000000">
        <w:rPr>
          <w:b w:val="1"/>
          <w:sz w:val="22"/>
          <w:szCs w:val="22"/>
          <w:rtl w:val="0"/>
        </w:rPr>
        <w:t xml:space="preserve">normativní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 TPEG-bin reprezentace </w:t>
      </w:r>
      <w:r w:rsidDel="00000000" w:rsidR="00000000" w:rsidRPr="00000000">
        <w:rPr>
          <w:b w:val="1"/>
          <w:sz w:val="22"/>
          <w:szCs w:val="22"/>
          <w:rtl w:val="0"/>
        </w:rPr>
        <w:t xml:space="preserve">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1ksv4uv" w:id="21"/>
      <w:bookmarkEnd w:id="21"/>
      <w:r w:rsidDel="00000000" w:rsidR="00000000" w:rsidRPr="00000000">
        <w:rPr>
          <w:color w:val="000000"/>
          <w:rtl w:val="0"/>
        </w:rPr>
        <w:t xml:space="preserve">Tato příloha (rozsah 12 stran) stanovuje binární reprezentaci aplikace </w:t>
      </w:r>
      <w:r w:rsidDel="00000000" w:rsidR="00000000" w:rsidRPr="00000000">
        <w:rPr>
          <w:rtl w:val="0"/>
        </w:rPr>
        <w:t xml:space="preserve">PTS</w:t>
      </w:r>
      <w:r w:rsidDel="00000000" w:rsidR="00000000" w:rsidRPr="00000000">
        <w:rPr>
          <w:color w:val="000000"/>
          <w:rtl w:val="0"/>
        </w:rPr>
        <w:t xml:space="preserve"> pro použití v DAB. Pro popis binární reprezentace je použit pseudokód.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62625" cy="1766734"/>
            <wp:effectExtent b="0" l="0" r="0" t="0"/>
            <wp:docPr id="10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1972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66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Obrázek </w:t>
      </w:r>
      <w:r w:rsidDel="00000000" w:rsidR="00000000" w:rsidRPr="00000000">
        <w:rPr>
          <w:b w:val="1"/>
          <w:sz w:val="18"/>
          <w:szCs w:val="18"/>
          <w:rtl w:val="0"/>
        </w:rPr>
        <w:t xml:space="preserve">2</w:t>
      </w: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 – </w:t>
      </w:r>
      <w:r w:rsidDel="00000000" w:rsidR="00000000" w:rsidRPr="00000000">
        <w:rPr>
          <w:b w:val="1"/>
          <w:sz w:val="18"/>
          <w:szCs w:val="18"/>
          <w:rtl w:val="0"/>
        </w:rPr>
        <w:t xml:space="preserve">Příklad </w:t>
      </w:r>
      <w:r w:rsidDel="00000000" w:rsidR="00000000" w:rsidRPr="00000000">
        <w:rPr>
          <w:b w:val="1"/>
          <w:sz w:val="18"/>
          <w:szCs w:val="18"/>
          <w:u w:val="single"/>
          <w:rtl w:val="0"/>
        </w:rPr>
        <w:t xml:space="preserve">části</w:t>
      </w:r>
      <w:r w:rsidDel="00000000" w:rsidR="00000000" w:rsidRPr="00000000">
        <w:rPr>
          <w:b w:val="1"/>
          <w:sz w:val="18"/>
          <w:szCs w:val="18"/>
          <w:rtl w:val="0"/>
        </w:rPr>
        <w:t xml:space="preserve"> pseudokódu binární specifikace </w:t>
      </w:r>
      <w:r w:rsidDel="00000000" w:rsidR="00000000" w:rsidRPr="00000000">
        <w:rPr>
          <w:b w:val="1"/>
          <w:sz w:val="18"/>
          <w:szCs w:val="18"/>
          <w:u w:val="single"/>
          <w:rtl w:val="0"/>
        </w:rPr>
        <w:t xml:space="preserve">prvku</w:t>
      </w:r>
      <w:r w:rsidDel="00000000" w:rsidR="00000000" w:rsidRPr="00000000">
        <w:rPr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PTSMessage </w:t>
      </w:r>
      <w:r w:rsidDel="00000000" w:rsidR="00000000" w:rsidRPr="00000000">
        <w:rPr>
          <w:b w:val="1"/>
          <w:sz w:val="18"/>
          <w:szCs w:val="18"/>
          <w:rtl w:val="0"/>
        </w:rPr>
        <w:t xml:space="preserve">(článek A.1.2 normy)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2"/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bookmarkStart w:colFirst="0" w:colLast="0" w:name="_heading=h.44sinio" w:id="22"/>
      <w:bookmarkEnd w:id="22"/>
      <w:r w:rsidDel="00000000" w:rsidR="00000000" w:rsidRPr="00000000">
        <w:rPr>
          <w:color w:val="000000"/>
          <w:rtl w:val="0"/>
        </w:rPr>
        <w:t xml:space="preserve">Příloha obsahuje samostatně uvedené binární reprezentace rámce TPEG, zprávy </w:t>
      </w:r>
      <w:r w:rsidDel="00000000" w:rsidR="00000000" w:rsidRPr="00000000">
        <w:rPr>
          <w:rtl w:val="0"/>
        </w:rPr>
        <w:t xml:space="preserve">PTS</w:t>
      </w:r>
      <w:r w:rsidDel="00000000" w:rsidR="00000000" w:rsidRPr="00000000">
        <w:rPr>
          <w:color w:val="000000"/>
          <w:rtl w:val="0"/>
        </w:rPr>
        <w:t xml:space="preserve"> a jejích součástí, prvků určených pro budoucí rozšíření a datových typů. Dále obsahuje identifikátory komponent zprávy a vysvětlení použití obecných atributů TPEG. Příklad pseudokódu binární specifikace </w:t>
      </w:r>
      <w:r w:rsidDel="00000000" w:rsidR="00000000" w:rsidRPr="00000000">
        <w:rPr>
          <w:rtl w:val="0"/>
        </w:rPr>
        <w:t xml:space="preserve">prvku PTSMessage je uveden </w:t>
      </w:r>
      <w:r w:rsidDel="00000000" w:rsidR="00000000" w:rsidRPr="00000000">
        <w:rPr>
          <w:color w:val="000000"/>
          <w:rtl w:val="0"/>
        </w:rPr>
        <w:t xml:space="preserve">na </w:t>
      </w:r>
      <w:r w:rsidDel="00000000" w:rsidR="00000000" w:rsidRPr="00000000">
        <w:rPr>
          <w:color w:val="000000"/>
          <w:rtl w:val="0"/>
        </w:rPr>
        <w:t xml:space="preserve">obrázku</w:t>
      </w:r>
      <w:r w:rsidDel="00000000" w:rsidR="00000000" w:rsidRPr="00000000">
        <w:rPr>
          <w:color w:val="000000"/>
          <w:rtl w:val="0"/>
        </w:rPr>
        <w:t xml:space="preserve"> 3.</w:t>
      </w:r>
    </w:p>
    <w:p w:rsidR="00000000" w:rsidDel="00000000" w:rsidP="00000000" w:rsidRDefault="00000000" w:rsidRPr="00000000" w14:paraId="0000009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Příloha B (normativní) TPEG-ML reprezentace </w:t>
      </w:r>
      <w:r w:rsidDel="00000000" w:rsidR="00000000" w:rsidRPr="00000000">
        <w:rPr>
          <w:b w:val="1"/>
          <w:sz w:val="22"/>
          <w:szCs w:val="22"/>
          <w:rtl w:val="0"/>
        </w:rPr>
        <w:t xml:space="preserve">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příloha (rozsah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color w:val="000000"/>
          <w:rtl w:val="0"/>
        </w:rPr>
        <w:t xml:space="preserve"> stran) obsahuje nejprve </w:t>
      </w:r>
      <w:r w:rsidDel="00000000" w:rsidR="00000000" w:rsidRPr="00000000">
        <w:rPr>
          <w:color w:val="000000"/>
          <w:u w:val="single"/>
          <w:rtl w:val="0"/>
        </w:rPr>
        <w:t xml:space="preserve">samostatně uvedené</w:t>
      </w:r>
      <w:r w:rsidDel="00000000" w:rsidR="00000000" w:rsidRPr="00000000">
        <w:rPr>
          <w:color w:val="000000"/>
          <w:rtl w:val="0"/>
        </w:rPr>
        <w:t xml:space="preserve"> XML schéma rámce TPEG, dále zprávy </w:t>
      </w:r>
      <w:r w:rsidDel="00000000" w:rsidR="00000000" w:rsidRPr="00000000">
        <w:rPr>
          <w:rtl w:val="0"/>
        </w:rPr>
        <w:t xml:space="preserve">PTS</w:t>
      </w:r>
      <w:r w:rsidDel="00000000" w:rsidR="00000000" w:rsidRPr="00000000">
        <w:rPr>
          <w:color w:val="000000"/>
          <w:rtl w:val="0"/>
        </w:rPr>
        <w:t xml:space="preserve"> a jejích součástí, prvků určených pro budoucí rozšíření, datových typů a tabulek </w:t>
      </w:r>
      <w:r w:rsidDel="00000000" w:rsidR="00000000" w:rsidRPr="00000000">
        <w:rPr>
          <w:rtl w:val="0"/>
        </w:rPr>
        <w:t xml:space="preserve">PTS</w:t>
      </w:r>
      <w:r w:rsidDel="00000000" w:rsidR="00000000" w:rsidRPr="00000000">
        <w:rPr>
          <w:color w:val="000000"/>
          <w:rtl w:val="0"/>
        </w:rPr>
        <w:t xml:space="preserve">, viz příklad na obrázku níže. Následně uvádí vše výše zmíněné v jednom funkčním XML schématu. </w:t>
      </w:r>
    </w:p>
    <w:tbl>
      <w:tblPr>
        <w:tblStyle w:val="Table4"/>
        <w:tblW w:w="92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2"/>
        <w:tblGridChange w:id="0">
          <w:tblGrid>
            <w:gridCol w:w="92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&lt;xs:complexType name="PtRequest"&gt;</w:t>
            </w:r>
          </w:p>
          <w:p w:rsidR="00000000" w:rsidDel="00000000" w:rsidP="00000000" w:rsidRDefault="00000000" w:rsidRPr="00000000" w14:paraId="00000093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&lt;xs:sequence&gt;</w:t>
            </w:r>
          </w:p>
          <w:p w:rsidR="00000000" w:rsidDel="00000000" w:rsidP="00000000" w:rsidRDefault="00000000" w:rsidRPr="00000000" w14:paraId="00000094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&lt;xs:choice minOccurs="1" maxOccurs="1"&gt;</w:t>
            </w:r>
          </w:p>
          <w:p w:rsidR="00000000" w:rsidDel="00000000" w:rsidP="00000000" w:rsidRDefault="00000000" w:rsidRPr="00000000" w14:paraId="00000095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&lt;xs:element name="optionAlertRequest" type="AlertRequest" minOccurs="1" maxOccurs="1"/&gt;</w:t>
            </w:r>
          </w:p>
          <w:p w:rsidR="00000000" w:rsidDel="00000000" w:rsidP="00000000" w:rsidRDefault="00000000" w:rsidRPr="00000000" w14:paraId="00000096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&lt;xs:element name="optionStopEventRequest" type="StopEventRequest" minOccurs="1"</w:t>
            </w:r>
          </w:p>
          <w:p w:rsidR="00000000" w:rsidDel="00000000" w:rsidP="00000000" w:rsidRDefault="00000000" w:rsidRPr="00000000" w14:paraId="00000097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maxOccurs="1"/&gt;</w:t>
            </w:r>
          </w:p>
          <w:p w:rsidR="00000000" w:rsidDel="00000000" w:rsidP="00000000" w:rsidRDefault="00000000" w:rsidRPr="00000000" w14:paraId="00000098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&lt;xs:element name="optionTripInfoRequest" type="TripInfoRequest" minOccurs="1" maxOccurs="1"/&gt;</w:t>
            </w:r>
          </w:p>
          <w:p w:rsidR="00000000" w:rsidDel="00000000" w:rsidP="00000000" w:rsidRDefault="00000000" w:rsidRPr="00000000" w14:paraId="00000099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&lt;/xs:choice&gt;</w:t>
            </w:r>
          </w:p>
          <w:p w:rsidR="00000000" w:rsidDel="00000000" w:rsidP="00000000" w:rsidRDefault="00000000" w:rsidRPr="00000000" w14:paraId="0000009A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&lt;/xs:sequence&gt;</w:t>
            </w:r>
          </w:p>
          <w:p w:rsidR="00000000" w:rsidDel="00000000" w:rsidP="00000000" w:rsidRDefault="00000000" w:rsidRPr="00000000" w14:paraId="0000009B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shd w:fill="fff2cc" w:val="clear"/>
              <w:tabs>
                <w:tab w:val="left" w:leader="none" w:pos="1360"/>
              </w:tabs>
              <w:spacing w:after="40" w:line="240" w:lineRule="auto"/>
              <w:ind w:left="0" w:hanging="2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&lt;/xs:complexType&gt;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Rule="auto"/>
        <w:ind w:left="0" w:hanging="2"/>
        <w:jc w:val="center"/>
        <w:rPr>
          <w:b w:val="1"/>
          <w:sz w:val="18"/>
          <w:szCs w:val="18"/>
        </w:rPr>
      </w:pP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Obrázek 4 - Výstřižek schématu XSD stanovujícího strukturu </w:t>
      </w:r>
      <w:r w:rsidDel="00000000" w:rsidR="00000000" w:rsidRPr="00000000">
        <w:rPr>
          <w:b w:val="1"/>
          <w:sz w:val="18"/>
          <w:szCs w:val="18"/>
          <w:rtl w:val="0"/>
        </w:rPr>
        <w:t xml:space="preserve">prvku</w:t>
      </w:r>
      <w:r w:rsidDel="00000000" w:rsidR="00000000" w:rsidRPr="00000000">
        <w:rPr>
          <w:b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PtRequest (článek B.1.3 normy)</w:t>
      </w:r>
    </w:p>
    <w:p w:rsidR="00000000" w:rsidDel="00000000" w:rsidP="00000000" w:rsidRDefault="00000000" w:rsidRPr="00000000" w14:paraId="0000009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200" w:lineRule="auto"/>
        <w:ind w:left="0" w:hanging="2"/>
        <w:rPr>
          <w:b w:val="1"/>
          <w:color w:val="000000"/>
          <w:sz w:val="22"/>
          <w:szCs w:val="22"/>
        </w:rPr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Příloha C (informativní) Příklady použití </w:t>
      </w:r>
      <w:r w:rsidDel="00000000" w:rsidR="00000000" w:rsidRPr="00000000">
        <w:rPr>
          <w:b w:val="1"/>
          <w:sz w:val="22"/>
          <w:szCs w:val="22"/>
          <w:rtl w:val="0"/>
        </w:rPr>
        <w:t xml:space="preserve">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Tato příloha (rozsah </w:t>
      </w: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color w:val="000000"/>
          <w:rtl w:val="0"/>
        </w:rPr>
        <w:t xml:space="preserve"> stran) obsahuje konkrétní příklady pro 3 hlavní případy užití: </w:t>
      </w:r>
      <w:r w:rsidDel="00000000" w:rsidR="00000000" w:rsidRPr="00000000">
        <w:rPr>
          <w:b w:val="1"/>
          <w:color w:val="000000"/>
          <w:rtl w:val="0"/>
        </w:rPr>
        <w:t xml:space="preserve">Informace o </w:t>
      </w:r>
      <w:r w:rsidDel="00000000" w:rsidR="00000000" w:rsidRPr="00000000">
        <w:rPr>
          <w:b w:val="1"/>
          <w:color w:val="000000"/>
          <w:rtl w:val="0"/>
        </w:rPr>
        <w:t xml:space="preserve">výstrahách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Informace o jízdních řádech</w:t>
      </w:r>
      <w:r w:rsidDel="00000000" w:rsidR="00000000" w:rsidRPr="00000000">
        <w:rPr>
          <w:color w:val="000000"/>
          <w:rtl w:val="0"/>
        </w:rPr>
        <w:t xml:space="preserve">, jak plánovaných, tak v reálném čase a </w:t>
      </w:r>
      <w:r w:rsidDel="00000000" w:rsidR="00000000" w:rsidRPr="00000000">
        <w:rPr>
          <w:b w:val="1"/>
          <w:color w:val="000000"/>
          <w:rtl w:val="0"/>
        </w:rPr>
        <w:t xml:space="preserve">Individuální požadavky na informace o cestě</w:t>
      </w:r>
      <w:r w:rsidDel="00000000" w:rsidR="00000000" w:rsidRPr="00000000">
        <w:rPr>
          <w:color w:val="000000"/>
          <w:rtl w:val="0"/>
        </w:rPr>
        <w:t xml:space="preserve">,</w:t>
      </w:r>
      <w:r w:rsidDel="00000000" w:rsidR="00000000" w:rsidRPr="00000000">
        <w:rPr>
          <w:color w:val="000000"/>
          <w:rtl w:val="0"/>
        </w:rPr>
        <w:t xml:space="preserve"> většinou doplněné o schématické znázornění obsahu použitých komponent v daném příkladu.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Článek </w:t>
      </w:r>
      <w:r w:rsidDel="00000000" w:rsidR="00000000" w:rsidRPr="00000000">
        <w:rPr>
          <w:b w:val="1"/>
          <w:rtl w:val="0"/>
        </w:rPr>
        <w:t xml:space="preserve">C.2 Výstrahy </w:t>
      </w:r>
      <w:r w:rsidDel="00000000" w:rsidR="00000000" w:rsidRPr="00000000">
        <w:rPr>
          <w:rtl w:val="0"/>
        </w:rPr>
        <w:t xml:space="preserve">uvádí příklady výstrah</w:t>
      </w:r>
      <w:r w:rsidDel="00000000" w:rsidR="00000000" w:rsidRPr="00000000">
        <w:rPr>
          <w:color w:val="000000"/>
          <w:rtl w:val="0"/>
        </w:rPr>
        <w:t xml:space="preserve">. Příklady zahrnují uzavření stanice metra, zpoždění metra v obou směrech, zrušení příměstské železniční služby a uzavření trasy autobusové linky.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Článek </w:t>
      </w:r>
      <w:r w:rsidDel="00000000" w:rsidR="00000000" w:rsidRPr="00000000">
        <w:rPr>
          <w:b w:val="1"/>
          <w:color w:val="000000"/>
          <w:rtl w:val="0"/>
        </w:rPr>
        <w:t xml:space="preserve">C.3 Jízdní řády </w:t>
      </w:r>
      <w:r w:rsidDel="00000000" w:rsidR="00000000" w:rsidRPr="00000000">
        <w:rPr>
          <w:color w:val="000000"/>
          <w:rtl w:val="0"/>
        </w:rPr>
        <w:t xml:space="preserve">uvádí příklady pro jízdní řády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pro určitou zastávku a pro určitou linku. Příklady zahrnují odjezdový jízdní řád pro stanici metra, příjezdový jízdní řád pro železniční stanici, odjezdový jízdní řád pro letiště a jízdní řád vlaku.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Článek </w:t>
      </w:r>
      <w:r w:rsidDel="00000000" w:rsidR="00000000" w:rsidRPr="00000000">
        <w:rPr>
          <w:b w:val="1"/>
          <w:color w:val="000000"/>
          <w:rtl w:val="0"/>
        </w:rPr>
        <w:t xml:space="preserve">C.4 Výstraha a jízdní řád </w:t>
      </w:r>
      <w:r w:rsidDel="00000000" w:rsidR="00000000" w:rsidRPr="00000000">
        <w:rPr>
          <w:color w:val="000000"/>
          <w:rtl w:val="0"/>
        </w:rPr>
        <w:t xml:space="preserve">uvádí příklad, kdy je informace o </w:t>
      </w:r>
      <w:r w:rsidDel="00000000" w:rsidR="00000000" w:rsidRPr="00000000">
        <w:rPr>
          <w:color w:val="000000"/>
          <w:rtl w:val="0"/>
        </w:rPr>
        <w:t xml:space="preserve">výstrahách</w:t>
      </w:r>
      <w:r w:rsidDel="00000000" w:rsidR="00000000" w:rsidRPr="00000000">
        <w:rPr>
          <w:color w:val="000000"/>
          <w:rtl w:val="0"/>
        </w:rPr>
        <w:t xml:space="preserve"> a aktualizovaný jízdní řád doručena ve stejné zprávě.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Článek </w:t>
      </w:r>
      <w:r w:rsidDel="00000000" w:rsidR="00000000" w:rsidRPr="00000000">
        <w:rPr>
          <w:b w:val="1"/>
          <w:color w:val="000000"/>
          <w:rtl w:val="0"/>
        </w:rPr>
        <w:t xml:space="preserve">C.5 Požadavek </w:t>
      </w:r>
      <w:r w:rsidDel="00000000" w:rsidR="00000000" w:rsidRPr="00000000">
        <w:rPr>
          <w:color w:val="000000"/>
          <w:rtl w:val="0"/>
        </w:rPr>
        <w:t xml:space="preserve">uvádí příklad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relace požadavku a odpovědi pro všechny případy použití. Pro každý případ použití definuje PTS dedikovaný požadavek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Článek </w:t>
      </w:r>
      <w:r w:rsidDel="00000000" w:rsidR="00000000" w:rsidRPr="00000000">
        <w:rPr>
          <w:b w:val="1"/>
          <w:color w:val="000000"/>
          <w:rtl w:val="0"/>
        </w:rPr>
        <w:t xml:space="preserve">C.6 AlertRequest </w:t>
      </w:r>
      <w:r w:rsidDel="00000000" w:rsidR="00000000" w:rsidRPr="00000000">
        <w:rPr>
          <w:color w:val="000000"/>
          <w:rtl w:val="0"/>
        </w:rPr>
        <w:t xml:space="preserve">uvádí příklad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požadavku na informace o výstrahách ve veřejné dopravě. Může zahrnovat požadavek na všechny aktuální výstrahy nebo na určité výstrahy pro specifické zastávky, dopravní prostředky nebo linky.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Článek </w:t>
      </w:r>
      <w:r w:rsidDel="00000000" w:rsidR="00000000" w:rsidRPr="00000000">
        <w:rPr>
          <w:b w:val="1"/>
          <w:color w:val="000000"/>
          <w:rtl w:val="0"/>
        </w:rPr>
        <w:t xml:space="preserve">C.7 StopEventRequest </w:t>
      </w:r>
      <w:r w:rsidDel="00000000" w:rsidR="00000000" w:rsidRPr="00000000">
        <w:rPr>
          <w:color w:val="000000"/>
          <w:rtl w:val="0"/>
        </w:rPr>
        <w:t xml:space="preserve">uvádí příklad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požadavku na informace o jízdních řádech. Může zahrnovat požadavek na odjezdový nebo příjezdový jízdní řád pro specifické zastávky nebo jízdní řád pro konkrétní vlak.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Článek </w:t>
      </w:r>
      <w:r w:rsidDel="00000000" w:rsidR="00000000" w:rsidRPr="00000000">
        <w:rPr>
          <w:b w:val="1"/>
          <w:color w:val="000000"/>
          <w:rtl w:val="0"/>
        </w:rPr>
        <w:t xml:space="preserve">C.8 TripInfoRequest </w:t>
      </w:r>
      <w:r w:rsidDel="00000000" w:rsidR="00000000" w:rsidRPr="00000000">
        <w:rPr>
          <w:color w:val="000000"/>
          <w:rtl w:val="0"/>
        </w:rPr>
        <w:t xml:space="preserve">uvádí příklad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požadavku na informace o individuálních cestách. Může zahrnovat požadavek na individuální cestu nebo cestu se speciálními preferencemi, jako je potřeba vozidel s </w:t>
      </w:r>
      <w:r w:rsidDel="00000000" w:rsidR="00000000" w:rsidRPr="00000000">
        <w:rPr>
          <w:rtl w:val="0"/>
        </w:rPr>
        <w:t xml:space="preserve">bezbariérovým </w:t>
      </w:r>
      <w:r w:rsidDel="00000000" w:rsidR="00000000" w:rsidRPr="00000000">
        <w:rPr>
          <w:color w:val="000000"/>
          <w:rtl w:val="0"/>
        </w:rPr>
        <w:t xml:space="preserve">vstupem a výtahy.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Článek </w:t>
      </w:r>
      <w:r w:rsidDel="00000000" w:rsidR="00000000" w:rsidRPr="00000000">
        <w:rPr>
          <w:b w:val="1"/>
          <w:color w:val="000000"/>
          <w:rtl w:val="0"/>
        </w:rPr>
        <w:t xml:space="preserve">C.9 Odpověď na TripInfoRequest </w:t>
      </w:r>
      <w:r w:rsidDel="00000000" w:rsidR="00000000" w:rsidRPr="00000000">
        <w:rPr>
          <w:color w:val="000000"/>
          <w:rtl w:val="0"/>
        </w:rPr>
        <w:t xml:space="preserve">uvádí příklad</w:t>
      </w:r>
      <w:r w:rsidDel="00000000" w:rsidR="00000000" w:rsidRPr="00000000">
        <w:rPr>
          <w:b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odpovědi na požadavek. Různé cesty (návrhy cest) se objevují v samostatných zprávách. Popisují jednotlivé úseky cesty, včetně informací o veřejné dopravě, identitě linek, trase a časových informacích. Mohou zahrnovat i speciální preference, jako je potřeba vozidel s </w:t>
      </w:r>
      <w:r w:rsidDel="00000000" w:rsidR="00000000" w:rsidRPr="00000000">
        <w:rPr>
          <w:rtl w:val="0"/>
        </w:rPr>
        <w:t xml:space="preserve">bezbariérovým </w:t>
      </w:r>
      <w:r w:rsidDel="00000000" w:rsidR="00000000" w:rsidRPr="00000000">
        <w:rPr>
          <w:color w:val="000000"/>
          <w:rtl w:val="0"/>
        </w:rPr>
        <w:t xml:space="preserve">vstupem a výtahy.</w:t>
      </w:r>
    </w:p>
    <w:sectPr>
      <w:footerReference r:id="rId11" w:type="default"/>
      <w:pgSz w:h="16838" w:w="11906" w:orient="portrait"/>
      <w:pgMar w:bottom="1497" w:top="1417" w:left="1417" w:right="1417" w:header="708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hanging="2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899794</wp:posOffset>
          </wp:positionH>
          <wp:positionV relativeFrom="paragraph">
            <wp:posOffset>0</wp:posOffset>
          </wp:positionV>
          <wp:extent cx="75565" cy="145415"/>
          <wp:effectExtent b="0" l="0" r="0" t="0"/>
          <wp:wrapSquare wrapText="bothSides" distB="0" distT="0" distL="114300" distR="114300"/>
          <wp:docPr id="104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65" cy="14541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cs-CZ"/>
      </w:rPr>
    </w:rPrDefault>
    <w:pPrDefault>
      <w:pPr>
        <w:spacing w:after="120" w:line="276" w:lineRule="auto"/>
        <w:ind w:hanging="1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00" w:lineRule="auto"/>
    </w:pPr>
    <w:rPr>
      <w:b w:val="1"/>
      <w:color w:val="000000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color w:val="00000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tabs>
        <w:tab w:val="left" w:leader="none" w:pos="7080"/>
        <w:tab w:val="right" w:leader="none" w:pos="9923"/>
      </w:tabs>
      <w:spacing w:after="60" w:lineRule="auto"/>
      <w:jc w:val="center"/>
    </w:pPr>
    <w:rPr>
      <w:b w:val="1"/>
      <w:color w:val="000000"/>
      <w:sz w:val="40"/>
      <w:szCs w:val="40"/>
    </w:rPr>
  </w:style>
  <w:style w:type="paragraph" w:styleId="Normln" w:default="1">
    <w:name w:val="Normal"/>
    <w:qFormat w:val="1"/>
    <w:pPr>
      <w:ind w:left="-1" w:leftChars="-1" w:hangingChars="1"/>
      <w:textDirection w:val="btLr"/>
      <w:textAlignment w:val="top"/>
      <w:outlineLvl w:val="0"/>
    </w:pPr>
    <w:rPr>
      <w:position w:val="-1"/>
      <w:lang w:bidi="hi-IN" w:eastAsia="hi-IN"/>
    </w:rPr>
  </w:style>
  <w:style w:type="paragraph" w:styleId="Nadpis1">
    <w:name w:val="heading 1"/>
    <w:basedOn w:val="Normln"/>
    <w:next w:val="Zkladntext"/>
    <w:uiPriority w:val="9"/>
    <w:qFormat w:val="1"/>
    <w:pPr>
      <w:keepNext w:val="1"/>
      <w:keepLines w:val="1"/>
      <w:spacing w:after="60" w:before="200"/>
    </w:pPr>
    <w:rPr>
      <w:b w:val="1"/>
      <w:color w:val="000000"/>
      <w:sz w:val="22"/>
      <w:szCs w:val="22"/>
    </w:rPr>
  </w:style>
  <w:style w:type="paragraph" w:styleId="Nadpis2">
    <w:name w:val="heading 2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color w:val="000000"/>
      <w:sz w:val="36"/>
      <w:szCs w:val="36"/>
    </w:rPr>
  </w:style>
  <w:style w:type="paragraph" w:styleId="Nadpis3">
    <w:name w:val="heading 3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color w:val="000000"/>
      <w:sz w:val="28"/>
      <w:szCs w:val="28"/>
    </w:rPr>
  </w:style>
  <w:style w:type="paragraph" w:styleId="Nadpis4">
    <w:name w:val="heading 4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color w:val="000000"/>
      <w:sz w:val="24"/>
      <w:szCs w:val="24"/>
    </w:rPr>
  </w:style>
  <w:style w:type="paragraph" w:styleId="Nadpis5">
    <w:name w:val="heading 5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color w:val="000000"/>
      <w:sz w:val="22"/>
      <w:szCs w:val="22"/>
    </w:rPr>
  </w:style>
  <w:style w:type="paragraph" w:styleId="Nadpis6">
    <w:name w:val="heading 6"/>
    <w:basedOn w:val="Normln"/>
    <w:next w:val="Zkladntext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color w:val="000000"/>
    </w:rPr>
  </w:style>
  <w:style w:type="character" w:styleId="Standardnpsmoodstavce" w:default="1">
    <w:name w:val="Default Paragraph Font"/>
    <w:uiPriority w:val="1"/>
    <w:semiHidden w:val="1"/>
    <w:unhideWhenUsed w:val="1"/>
  </w:style>
  <w:style w:type="table" w:styleId="Normlntabul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zev">
    <w:name w:val="Title"/>
    <w:basedOn w:val="Normln"/>
    <w:next w:val="Podnadpis1"/>
    <w:uiPriority w:val="10"/>
    <w:qFormat w:val="1"/>
    <w:pPr>
      <w:keepNext w:val="1"/>
      <w:keepLines w:val="1"/>
      <w:widowControl w:val="0"/>
      <w:tabs>
        <w:tab w:val="left" w:pos="7080"/>
        <w:tab w:val="right" w:pos="9923"/>
      </w:tabs>
      <w:spacing w:after="60" w:line="100" w:lineRule="atLeast"/>
      <w:jc w:val="center"/>
    </w:pPr>
    <w:rPr>
      <w:b w:val="1"/>
      <w:bCs w:val="1"/>
      <w:color w:val="000000"/>
      <w:sz w:val="40"/>
      <w:szCs w:val="40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Odrky" w:customStyle="1">
    <w:name w:val="Odrážky"/>
    <w:rPr>
      <w:rFonts w:ascii="OpenSymbol" w:cs="OpenSymbol" w:eastAsia="OpenSymbol" w:hAnsi="OpenSymbol"/>
      <w:w w:val="100"/>
      <w:position w:val="-1"/>
      <w:effect w:val="none"/>
      <w:vertAlign w:val="baseline"/>
      <w:cs w:val="0"/>
      <w:em w:val="none"/>
    </w:rPr>
  </w:style>
  <w:style w:type="paragraph" w:styleId="Nadpis" w:customStyle="1">
    <w:name w:val="Nadpis"/>
    <w:basedOn w:val="Normln"/>
    <w:next w:val="Zkladntext"/>
    <w:pPr>
      <w:keepNext w:val="1"/>
      <w:spacing w:before="240"/>
    </w:pPr>
    <w:rPr>
      <w:rFonts w:cs="Lucida Sans" w:eastAsia="Microsoft YaHei"/>
      <w:color w:val="000000"/>
      <w:sz w:val="28"/>
      <w:szCs w:val="28"/>
    </w:rPr>
  </w:style>
  <w:style w:type="paragraph" w:styleId="Zkladntext">
    <w:name w:val="Body Text"/>
    <w:basedOn w:val="Normln"/>
    <w:rPr>
      <w:color w:val="000000"/>
    </w:rPr>
  </w:style>
  <w:style w:type="paragraph" w:styleId="Seznam">
    <w:name w:val="List"/>
    <w:basedOn w:val="Zkladntext"/>
    <w:rPr>
      <w:rFonts w:cs="Lucida Sans"/>
    </w:rPr>
  </w:style>
  <w:style w:type="paragraph" w:styleId="Popisek" w:customStyle="1">
    <w:name w:val="Popisek"/>
    <w:basedOn w:val="Normln"/>
    <w:pPr>
      <w:suppressLineNumbers w:val="1"/>
      <w:spacing w:before="120"/>
    </w:pPr>
    <w:rPr>
      <w:rFonts w:cs="Lucida Sans"/>
      <w:i w:val="1"/>
      <w:iCs w:val="1"/>
      <w:color w:val="000000"/>
      <w:sz w:val="24"/>
      <w:szCs w:val="24"/>
    </w:rPr>
  </w:style>
  <w:style w:type="paragraph" w:styleId="Rejstk" w:customStyle="1">
    <w:name w:val="Rejstřík"/>
    <w:basedOn w:val="Normln"/>
    <w:pPr>
      <w:suppressLineNumbers w:val="1"/>
    </w:pPr>
    <w:rPr>
      <w:rFonts w:cs="Lucida Sans"/>
      <w:color w:val="000000"/>
    </w:rPr>
  </w:style>
  <w:style w:type="paragraph" w:styleId="Podnadpis1" w:customStyle="1">
    <w:name w:val="Podnadpis1"/>
    <w:basedOn w:val="Normln"/>
    <w:next w:val="Zkladntext"/>
    <w:pPr>
      <w:keepNext w:val="1"/>
      <w:keepLines w:val="1"/>
      <w:spacing w:after="0" w:before="180" w:line="100" w:lineRule="atLeast"/>
      <w:jc w:val="left"/>
    </w:pPr>
    <w:rPr>
      <w:b w:val="1"/>
      <w:i w:val="1"/>
      <w:iCs w:val="1"/>
      <w:color w:val="000000"/>
      <w:sz w:val="32"/>
      <w:szCs w:val="32"/>
    </w:rPr>
  </w:style>
  <w:style w:type="paragraph" w:styleId="Zpat">
    <w:name w:val="footer"/>
    <w:basedOn w:val="Normln"/>
    <w:pPr>
      <w:suppressLineNumbers w:val="1"/>
      <w:tabs>
        <w:tab w:val="center" w:pos="4819"/>
        <w:tab w:val="right" w:pos="9638"/>
      </w:tabs>
    </w:pPr>
    <w:rPr>
      <w:color w:val="000000"/>
    </w:rPr>
  </w:style>
  <w:style w:type="paragraph" w:styleId="Odstavecseseznamem">
    <w:name w:val="List Paragraph"/>
    <w:basedOn w:val="Normln"/>
    <w:pPr>
      <w:ind w:left="720" w:firstLine="0"/>
    </w:pPr>
    <w:rPr>
      <w:color w:val="000000"/>
    </w:rPr>
  </w:style>
  <w:style w:type="paragraph" w:styleId="Titulek">
    <w:name w:val="caption"/>
    <w:basedOn w:val="Normln"/>
    <w:next w:val="Normln"/>
    <w:pPr>
      <w:spacing w:after="200" w:line="100" w:lineRule="atLeast"/>
      <w:jc w:val="center"/>
    </w:pPr>
    <w:rPr>
      <w:bCs w:val="1"/>
      <w:color w:val="000000"/>
      <w:sz w:val="18"/>
      <w:szCs w:val="18"/>
    </w:rPr>
  </w:style>
  <w:style w:type="paragraph" w:styleId="Obsahtabulky" w:customStyle="1">
    <w:name w:val="Obsah tabulky"/>
    <w:basedOn w:val="Normln"/>
    <w:pPr>
      <w:suppressLineNumbers w:val="1"/>
    </w:pPr>
    <w:rPr>
      <w:color w:val="000000"/>
    </w:rPr>
  </w:style>
  <w:style w:type="paragraph" w:styleId="Normlnweb">
    <w:name w:val="Normal (Web)"/>
    <w:basedOn w:val="Normln"/>
    <w:uiPriority w:val="99"/>
    <w:qFormat w:val="1"/>
    <w:pPr>
      <w:suppressAutoHyphens w:val="1"/>
      <w:spacing w:after="100" w:afterAutospacing="1" w:before="100" w:beforeAutospacing="1" w:line="240" w:lineRule="auto"/>
      <w:jc w:val="left"/>
    </w:pPr>
    <w:rPr>
      <w:rFonts w:ascii="Times New Roman" w:cs="Times New Roman" w:eastAsia="Times New Roman" w:hAnsi="Times New Roman"/>
      <w:sz w:val="24"/>
      <w:szCs w:val="24"/>
      <w:lang w:bidi="ar-SA" w:eastAsia="cs-CZ"/>
    </w:rPr>
  </w:style>
  <w:style w:type="table" w:styleId="Mkatabulky">
    <w:name w:val="Table Grid"/>
    <w:basedOn w:val="Normlntabulka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odnadpis">
    <w:name w:val="Subtitle"/>
    <w:basedOn w:val="Normln"/>
    <w:next w:val="Normln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Textkomente">
    <w:name w:val="annotation text"/>
    <w:basedOn w:val="Normln"/>
    <w:link w:val="TextkomenteChar"/>
    <w:uiPriority w:val="99"/>
    <w:semiHidden w:val="1"/>
    <w:unhideWhenUsed w:val="1"/>
    <w:pPr>
      <w:spacing w:line="240" w:lineRule="auto"/>
    </w:pPr>
    <w:rPr>
      <w:rFonts w:cs="Mangal"/>
      <w:szCs w:val="18"/>
    </w:rPr>
  </w:style>
  <w:style w:type="character" w:styleId="TextkomenteChar" w:customStyle="1">
    <w:name w:val="Text komentáře Char"/>
    <w:basedOn w:val="Standardnpsmoodstavce"/>
    <w:link w:val="Textkomente"/>
    <w:uiPriority w:val="99"/>
    <w:semiHidden w:val="1"/>
    <w:rPr>
      <w:rFonts w:cs="Mangal"/>
      <w:position w:val="-1"/>
      <w:szCs w:val="18"/>
      <w:lang w:bidi="hi-IN" w:eastAsia="hi-IN"/>
    </w:rPr>
  </w:style>
  <w:style w:type="character" w:styleId="Odkaznakoment">
    <w:name w:val="annotation reference"/>
    <w:basedOn w:val="Standardnpsmoodstavce"/>
    <w:uiPriority w:val="99"/>
    <w:semiHidden w:val="1"/>
    <w:unhideWhenUsed w:val="1"/>
    <w:rPr>
      <w:sz w:val="16"/>
      <w:szCs w:val="16"/>
    </w:rPr>
  </w:style>
  <w:style w:type="paragraph" w:styleId="Textbubliny">
    <w:name w:val="Balloon Text"/>
    <w:basedOn w:val="Normln"/>
    <w:link w:val="TextbublinyChar"/>
    <w:uiPriority w:val="99"/>
    <w:semiHidden w:val="1"/>
    <w:unhideWhenUsed w:val="1"/>
    <w:rsid w:val="002524C9"/>
    <w:pPr>
      <w:spacing w:after="0" w:line="240" w:lineRule="auto"/>
    </w:pPr>
    <w:rPr>
      <w:rFonts w:ascii="Tahoma" w:cs="Mangal" w:hAnsi="Tahoma"/>
      <w:sz w:val="16"/>
      <w:szCs w:val="14"/>
    </w:rPr>
  </w:style>
  <w:style w:type="character" w:styleId="TextbublinyChar" w:customStyle="1">
    <w:name w:val="Text bubliny Char"/>
    <w:basedOn w:val="Standardnpsmoodstavce"/>
    <w:link w:val="Textbubliny"/>
    <w:uiPriority w:val="99"/>
    <w:semiHidden w:val="1"/>
    <w:rsid w:val="002524C9"/>
    <w:rPr>
      <w:rFonts w:ascii="Tahoma" w:cs="Mangal" w:hAnsi="Tahoma"/>
      <w:position w:val="-1"/>
      <w:sz w:val="16"/>
      <w:szCs w:val="14"/>
      <w:lang w:bidi="hi-IN" w:eastAsia="hi-IN"/>
    </w:rPr>
  </w:style>
  <w:style w:type="paragraph" w:styleId="1StrNN-X" w:customStyle="1">
    <w:name w:val="1StrNN-X"/>
    <w:basedOn w:val="Normln"/>
    <w:rsid w:val="002524C9"/>
    <w:pPr>
      <w:widowControl w:val="0"/>
      <w:suppressAutoHyphens w:val="1"/>
      <w:spacing w:after="180" w:before="180" w:line="340" w:lineRule="exact"/>
      <w:ind w:left="0" w:right="567" w:leftChars="0" w:firstLine="0" w:firstLineChars="0"/>
      <w:jc w:val="left"/>
      <w:textDirection w:val="lrTb"/>
      <w:textAlignment w:val="auto"/>
      <w:outlineLvl w:val="9"/>
    </w:pPr>
    <w:rPr>
      <w:b w:val="1"/>
      <w:position w:val="0"/>
      <w:sz w:val="28"/>
      <w:lang w:bidi="ar-SA" w:eastAsia="cs-CZ"/>
    </w:rPr>
  </w:style>
  <w:style w:type="table" w:styleId="ab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Texttabulky" w:customStyle="1">
    <w:name w:val="Text tabulky"/>
    <w:basedOn w:val="Normln"/>
    <w:rsid w:val="00876CFC"/>
    <w:pPr>
      <w:suppressAutoHyphens w:val="1"/>
      <w:spacing w:after="60" w:before="60" w:line="240" w:lineRule="auto"/>
      <w:ind w:left="0" w:leftChars="0" w:firstLine="0" w:firstLineChars="0"/>
      <w:jc w:val="left"/>
      <w:textDirection w:val="lrTb"/>
      <w:textAlignment w:val="auto"/>
      <w:outlineLvl w:val="9"/>
    </w:pPr>
    <w:rPr>
      <w:rFonts w:cs="Times New Roman" w:eastAsia="Times New Roman"/>
      <w:position w:val="0"/>
      <w:sz w:val="18"/>
      <w:lang w:bidi="ar-SA" w:eastAsia="cs-CZ"/>
    </w:rPr>
  </w:style>
  <w:style w:type="paragraph" w:styleId="Bezmezer">
    <w:name w:val="No Spacing"/>
    <w:uiPriority w:val="1"/>
    <w:qFormat w:val="1"/>
    <w:rsid w:val="002D199C"/>
    <w:pPr>
      <w:spacing w:after="0" w:line="240" w:lineRule="auto"/>
      <w:ind w:left="-1" w:leftChars="-1" w:hangingChars="1"/>
      <w:textDirection w:val="btLr"/>
      <w:textAlignment w:val="top"/>
      <w:outlineLvl w:val="0"/>
    </w:pPr>
    <w:rPr>
      <w:rFonts w:cs="Mangal"/>
      <w:position w:val="-1"/>
      <w:szCs w:val="18"/>
      <w:lang w:bidi="hi-IN" w:eastAsia="hi-IN"/>
    </w:rPr>
  </w:style>
  <w:style w:type="paragraph" w:styleId="Example" w:customStyle="1">
    <w:name w:val="Example"/>
    <w:basedOn w:val="Normln"/>
    <w:next w:val="Normln"/>
    <w:rsid w:val="00EF3B69"/>
    <w:pPr>
      <w:tabs>
        <w:tab w:val="left" w:pos="1360"/>
      </w:tabs>
      <w:spacing w:after="240" w:line="210" w:lineRule="atLeast"/>
      <w:ind w:left="0" w:leftChars="0" w:firstLine="0" w:firstLineChars="0"/>
      <w:textDirection w:val="lrTb"/>
      <w:textAlignment w:val="auto"/>
      <w:outlineLvl w:val="9"/>
    </w:pPr>
    <w:rPr>
      <w:rFonts w:cs="Times New Roman" w:eastAsia="MS Mincho"/>
      <w:position w:val="0"/>
      <w:sz w:val="18"/>
      <w:lang w:bidi="ar-SA" w:eastAsia="ja-JP" w:val="en-GB"/>
    </w:rPr>
  </w:style>
  <w:style w:type="table" w:styleId="af1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itsterminology.org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NCg+iKKZedsV2uLgV4cWWwK1YA==">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2024-12-01T11:02:00Z</dcterms:created>
  <dc:creator>Petr Bureš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0ac97a4c91c9e4ffe47e821410312a16cead40a97fa5ef1eab3f26402e2ce144</vt:lpwstr>
  </property>
</Properties>
</file>