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1"/>
        <w:keepLines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7080"/>
          <w:tab w:val="right" w:leader="none" w:pos="9923"/>
        </w:tabs>
        <w:spacing w:after="60" w:lineRule="auto"/>
        <w:ind w:left="2" w:hanging="4"/>
        <w:jc w:val="center"/>
        <w:rPr>
          <w:b w:val="1"/>
          <w:color w:val="000000"/>
          <w:sz w:val="40"/>
          <w:szCs w:val="40"/>
        </w:rPr>
      </w:pPr>
      <w:bookmarkStart w:colFirst="0" w:colLast="0" w:name="_heading=h.gjdgxs" w:id="0"/>
      <w:bookmarkEnd w:id="0"/>
      <w:r w:rsidDel="00000000" w:rsidR="00000000" w:rsidRPr="00000000">
        <w:rPr>
          <w:b w:val="1"/>
          <w:color w:val="000000"/>
          <w:sz w:val="40"/>
          <w:szCs w:val="40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leftMargin">
              <wp:posOffset>0</wp:posOffset>
            </wp:positionH>
            <wp:positionV relativeFrom="topMargin">
              <wp:posOffset>-449576</wp:posOffset>
            </wp:positionV>
            <wp:extent cx="75565" cy="151765"/>
            <wp:effectExtent b="0" l="0" r="0" t="0"/>
            <wp:wrapSquare wrapText="bothSides" distB="0" distT="0" distL="114300" distR="114300"/>
            <wp:docPr id="104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565" cy="15176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b w:val="1"/>
          <w:color w:val="000000"/>
          <w:sz w:val="40"/>
          <w:szCs w:val="40"/>
          <w:rtl w:val="0"/>
        </w:rPr>
        <w:t xml:space="preserve">EXTRAKT z mezinárodní normy ISO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0" w:hanging="2"/>
        <w:rPr>
          <w:color w:val="000000"/>
          <w:sz w:val="16"/>
          <w:szCs w:val="16"/>
        </w:rPr>
      </w:pPr>
      <w:bookmarkStart w:colFirst="0" w:colLast="0" w:name="_heading=h.30j0zll" w:id="1"/>
      <w:bookmarkEnd w:id="1"/>
      <w:r w:rsidDel="00000000" w:rsidR="00000000" w:rsidRPr="00000000">
        <w:rPr>
          <w:b w:val="1"/>
          <w:color w:val="000000"/>
          <w:rtl w:val="0"/>
        </w:rPr>
        <w:t xml:space="preserve">Extrakt nenahrazuje samotnou technickou normu, je pouze informativním materiálem o normě.</w:t>
      </w: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Ind w:w="131.0" w:type="dxa"/>
        <w:tblLayout w:type="fixed"/>
        <w:tblLook w:val="0000"/>
      </w:tblPr>
      <w:tblGrid>
        <w:gridCol w:w="6764"/>
        <w:gridCol w:w="2266"/>
        <w:tblGridChange w:id="0">
          <w:tblGrid>
            <w:gridCol w:w="6764"/>
            <w:gridCol w:w="2266"/>
          </w:tblGrid>
        </w:tblGridChange>
      </w:tblGrid>
      <w:tr>
        <w:trPr>
          <w:cantSplit w:val="0"/>
          <w:trHeight w:val="1200" w:hRule="atLeast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</w:tcPr>
          <w:p w:rsidR="00000000" w:rsidDel="00000000" w:rsidP="00000000" w:rsidRDefault="00000000" w:rsidRPr="00000000" w14:paraId="0000000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80" w:before="180" w:line="340" w:lineRule="auto"/>
              <w:ind w:left="1" w:right="567" w:hanging="3"/>
              <w:jc w:val="left"/>
              <w:rPr>
                <w:b w:val="1"/>
                <w:color w:val="000000"/>
                <w:sz w:val="28"/>
                <w:szCs w:val="28"/>
              </w:rPr>
            </w:pPr>
            <w:bookmarkStart w:colFirst="0" w:colLast="0" w:name="_heading=h.b7ixhhvdct0t" w:id="2"/>
            <w:bookmarkEnd w:id="2"/>
            <w:r w:rsidDel="00000000" w:rsidR="00000000" w:rsidRPr="00000000">
              <w:rPr>
                <w:b w:val="1"/>
                <w:color w:val="000000"/>
                <w:sz w:val="28"/>
                <w:szCs w:val="28"/>
                <w:rtl w:val="0"/>
              </w:rPr>
              <w:t xml:space="preserve">Inteligentní dopravní systémy –</w:t>
            </w: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 Dopravní a cestovní informace (TTI) v dopravním protokolu expertní skupiny, druhá generace (TPEG2) - Část 17: Aplikace pro informace o rychlostních omezeních (TPEG2</w:t>
            </w:r>
            <w:r w:rsidDel="00000000" w:rsidR="00000000" w:rsidRPr="00000000">
              <w:rPr>
                <w:b w:val="1"/>
                <w:color w:val="000000"/>
                <w:sz w:val="28"/>
                <w:szCs w:val="28"/>
                <w:rtl w:val="0"/>
              </w:rPr>
              <w:t xml:space="preserve">-SPI)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</w:tcPr>
          <w:p w:rsidR="00000000" w:rsidDel="00000000" w:rsidP="00000000" w:rsidRDefault="00000000" w:rsidRPr="00000000" w14:paraId="0000000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80" w:lineRule="auto"/>
              <w:ind w:left="1" w:hanging="3"/>
              <w:jc w:val="right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sz w:val="32"/>
                <w:szCs w:val="32"/>
                <w:rtl w:val="0"/>
              </w:rPr>
              <w:t xml:space="preserve">ISO 21219-17</w:t>
            </w:r>
            <w:r w:rsidDel="00000000" w:rsidR="00000000" w:rsidRPr="00000000">
              <w:rPr>
                <w:b w:val="1"/>
                <w:sz w:val="32"/>
                <w:szCs w:val="32"/>
                <w:rtl w:val="0"/>
              </w:rPr>
              <w:t xml:space="preserve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Rule="auto"/>
              <w:ind w:left="0" w:hanging="2"/>
              <w:jc w:val="right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Rule="auto"/>
              <w:ind w:left="1" w:hanging="3"/>
              <w:jc w:val="right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01 8259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0" w:before="240" w:lineRule="auto"/>
        <w:ind w:left="1" w:hanging="3"/>
        <w:jc w:val="right"/>
        <w:rPr>
          <w:color w:val="000000"/>
        </w:rPr>
      </w:pPr>
      <w:bookmarkStart w:colFirst="0" w:colLast="0" w:name="_heading=h.1fob9te" w:id="3"/>
      <w:bookmarkEnd w:id="3"/>
      <w:r w:rsidDel="00000000" w:rsidR="00000000" w:rsidRPr="00000000">
        <w:rPr>
          <w:color w:val="000000"/>
          <w:sz w:val="28"/>
          <w:szCs w:val="28"/>
          <w:rtl w:val="0"/>
        </w:rPr>
        <w:t xml:space="preserve">Vydána 2023, 35 stran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0" w:before="240" w:lineRule="auto"/>
        <w:ind w:left="1" w:hanging="3"/>
        <w:jc w:val="right"/>
        <w:rPr>
          <w:color w:val="000000"/>
        </w:rPr>
      </w:pPr>
      <w:bookmarkStart w:colFirst="0" w:colLast="0" w:name="_heading=h.1fob9te" w:id="3"/>
      <w:bookmarkEnd w:id="3"/>
      <w:r w:rsidDel="00000000" w:rsidR="00000000" w:rsidRPr="00000000">
        <w:rPr>
          <w:color w:val="000000"/>
          <w:sz w:val="28"/>
          <w:szCs w:val="28"/>
          <w:rtl w:val="0"/>
        </w:rPr>
        <w:t xml:space="preserve">Zavedena v ČSN jako ČSN ISO 21219-17 (vydána 2024-01)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ind w:left="0" w:hanging="2"/>
        <w:rPr/>
      </w:pPr>
      <w:bookmarkStart w:colFirst="0" w:colLast="0" w:name="_heading=h.k2jf97lkp7ge" w:id="4"/>
      <w:bookmarkEnd w:id="4"/>
      <w:r w:rsidDel="00000000" w:rsidR="00000000" w:rsidRPr="00000000">
        <w:rPr>
          <w:rtl w:val="0"/>
        </w:rPr>
        <w:t xml:space="preserve">Úvod</w:t>
      </w:r>
    </w:p>
    <w:p w:rsidR="00000000" w:rsidDel="00000000" w:rsidP="00000000" w:rsidRDefault="00000000" w:rsidRPr="00000000" w14:paraId="00000009">
      <w:pPr>
        <w:ind w:left="0" w:hanging="2"/>
        <w:rPr/>
      </w:pPr>
      <w:r w:rsidDel="00000000" w:rsidR="00000000" w:rsidRPr="00000000">
        <w:rPr>
          <w:rtl w:val="0"/>
        </w:rPr>
        <w:t xml:space="preserve">Technická specifikace ISO 21219 stanovuje formát a protokol TPEG určený pro poskytování informací o dopravě koncovým uživatelům. TPEG je určen pro média s vysokou přenosovou kapacitou, umožňuje informace členit strukturovaně se zvyšující se mírou detailů a komplexně popisovat polohu. </w:t>
      </w:r>
    </w:p>
    <w:p w:rsidR="00000000" w:rsidDel="00000000" w:rsidP="00000000" w:rsidRDefault="00000000" w:rsidRPr="00000000" w14:paraId="0000000A">
      <w:pPr>
        <w:ind w:left="0" w:hanging="2"/>
        <w:rPr/>
      </w:pPr>
      <w:r w:rsidDel="00000000" w:rsidR="00000000" w:rsidRPr="00000000">
        <w:rPr>
          <w:rtl w:val="0"/>
        </w:rPr>
        <w:t xml:space="preserve">Jednotlivé oblasti dopravních událostí jsou v TPEG popsány odděleně, pomocí platformě nezávislého modelu (UML) a dvou odvozených platformě závislých modelů (binární a XML). Části specifikace stanovují pravidla tvorby modelu a jeho převodu do platformě závislé podoby. </w:t>
      </w:r>
    </w:p>
    <w:p w:rsidR="00000000" w:rsidDel="00000000" w:rsidP="00000000" w:rsidRDefault="00000000" w:rsidRPr="00000000" w14:paraId="0000000B">
      <w:pPr>
        <w:ind w:left="0" w:hanging="2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Více informací o kontextu TPEG je obsaženo v úvodu extraktu k části 1 normy TPEG (21219-1).</w:t>
      </w:r>
    </w:p>
    <w:p w:rsidR="00000000" w:rsidDel="00000000" w:rsidP="00000000" w:rsidRDefault="00000000" w:rsidRPr="00000000" w14:paraId="0000000C">
      <w:pPr>
        <w:ind w:left="0" w:hanging="2"/>
        <w:rPr/>
      </w:pPr>
      <w:r w:rsidDel="00000000" w:rsidR="00000000" w:rsidRPr="00000000">
        <w:rPr>
          <w:rtl w:val="0"/>
        </w:rPr>
        <w:t xml:space="preserve">Technická specifikace ISO 21219 se zabývá druhou generací protokolu TPEG, označovaným zkratkou TPEG2. Rozlišení TPEG/TPEG1/TPEG2 se většinou uvádí pouze v úvodní části norem/specifikací, zatímco ostatní kapitoly již mezi TPEG a TPEG2 nerozlišují – to je implicitní dle kontextu. </w:t>
      </w:r>
    </w:p>
    <w:p w:rsidR="00000000" w:rsidDel="00000000" w:rsidP="00000000" w:rsidRDefault="00000000" w:rsidRPr="00000000" w14:paraId="0000000D">
      <w:pPr>
        <w:ind w:left="0" w:hanging="2"/>
        <w:rPr/>
      </w:pPr>
      <w:r w:rsidDel="00000000" w:rsidR="00000000" w:rsidRPr="00000000">
        <w:rPr>
          <w:rtl w:val="0"/>
        </w:rPr>
        <w:t xml:space="preserve">Tento extrakt (dále jen “popisovaný dokument”) popisuje část 17 normy TPEG „Aplikace pro informace o rychlostních omezeních (TPEG2-SPI)”, která specifikuje strukturu pro popis rychlostních limitů daných dopravními značkami a legislativními limity.</w:t>
      </w:r>
    </w:p>
    <w:p w:rsidR="00000000" w:rsidDel="00000000" w:rsidP="00000000" w:rsidRDefault="00000000" w:rsidRPr="00000000" w14:paraId="000000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before="240" w:line="240" w:lineRule="auto"/>
        <w:ind w:left="0" w:hanging="2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eading=h.3znysh7" w:id="5"/>
      <w:bookmarkEnd w:id="5"/>
      <w:r w:rsidDel="00000000" w:rsidR="00000000" w:rsidRPr="00000000">
        <w:rPr>
          <w:i w:val="1"/>
          <w:color w:val="000000"/>
          <w:sz w:val="18"/>
          <w:szCs w:val="18"/>
          <w:rtl w:val="0"/>
        </w:rPr>
        <w:t xml:space="preserve">Poznámka: Extrakt uvádí vybrané kapitoly popisovaného dokumentu a přejímá původní číslování kapitol.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1"/>
        <w:ind w:left="0" w:hanging="2"/>
        <w:rPr/>
      </w:pPr>
      <w:bookmarkStart w:colFirst="0" w:colLast="0" w:name="_heading=h.p5uplw5j229a" w:id="6"/>
      <w:bookmarkEnd w:id="6"/>
      <w:r w:rsidDel="00000000" w:rsidR="00000000" w:rsidRPr="00000000">
        <w:rPr>
          <w:rtl w:val="0"/>
        </w:rPr>
        <w:t xml:space="preserve">Užití</w:t>
      </w:r>
    </w:p>
    <w:p w:rsidR="00000000" w:rsidDel="00000000" w:rsidP="00000000" w:rsidRDefault="00000000" w:rsidRPr="00000000" w14:paraId="00000010">
      <w:pPr>
        <w:ind w:left="0" w:hanging="2"/>
        <w:rPr/>
      </w:pPr>
      <w:bookmarkStart w:colFirst="0" w:colLast="0" w:name="_heading=h.2et92p0" w:id="7"/>
      <w:bookmarkEnd w:id="7"/>
      <w:r w:rsidDel="00000000" w:rsidR="00000000" w:rsidRPr="00000000">
        <w:rPr>
          <w:rtl w:val="0"/>
        </w:rPr>
        <w:t xml:space="preserve">Popisovaný dokument stanovuje způsob poskytování informací o regulatorních rychlostních limitech, daných buď explicitně dopravní </w:t>
      </w:r>
      <w:r w:rsidDel="00000000" w:rsidR="00000000" w:rsidRPr="00000000">
        <w:rPr>
          <w:rtl w:val="0"/>
        </w:rPr>
        <w:t xml:space="preserve">značkou</w:t>
      </w:r>
      <w:r w:rsidDel="00000000" w:rsidR="00000000" w:rsidRPr="00000000">
        <w:rPr>
          <w:rtl w:val="0"/>
        </w:rPr>
        <w:t xml:space="preserve"> či implicitně přikázaným odstupem mezi vozidly. Je nezbytný pro analytiky poskytovatele služby informací o rychlostních limitech a pro analytiky výrobce uživatelského terminálu (aplikace), kteří mají na starost návrh datového modelu systému a návrh pravidel, se kterými systém pracuje. Použije se při návrhu systému. </w:t>
      </w:r>
    </w:p>
    <w:p w:rsidR="00000000" w:rsidDel="00000000" w:rsidP="00000000" w:rsidRDefault="00000000" w:rsidRPr="00000000" w14:paraId="00000011">
      <w:pPr>
        <w:pStyle w:val="Heading1"/>
        <w:ind w:left="0" w:hanging="2"/>
        <w:rPr/>
      </w:pPr>
      <w:bookmarkStart w:colFirst="0" w:colLast="0" w:name="_heading=h.8kdf5wup1at0" w:id="8"/>
      <w:bookmarkEnd w:id="8"/>
      <w:r w:rsidDel="00000000" w:rsidR="00000000" w:rsidRPr="00000000">
        <w:rPr>
          <w:rtl w:val="0"/>
        </w:rPr>
        <w:t xml:space="preserve">Souvisící normy</w:t>
      </w:r>
    </w:p>
    <w:p w:rsidR="00000000" w:rsidDel="00000000" w:rsidP="00000000" w:rsidRDefault="00000000" w:rsidRPr="00000000" w14:paraId="00000012">
      <w:pPr>
        <w:ind w:left="0" w:hanging="2"/>
        <w:rPr/>
      </w:pPr>
      <w:bookmarkStart w:colFirst="0" w:colLast="0" w:name="_heading=h.2s8eyo1" w:id="9"/>
      <w:bookmarkEnd w:id="9"/>
      <w:r w:rsidDel="00000000" w:rsidR="00000000" w:rsidRPr="00000000">
        <w:rPr>
          <w:rtl w:val="0"/>
        </w:rPr>
        <w:t xml:space="preserve">Popisovaný dokument uvádí 5 normativních odkazů na normu TPEG2 ISO 21219 části 1 (INV), 3, 4, 5 (SFW) a 9 (SNI). Jedná se o obecné normy definující základní strukturu zprávy, číslování a sestavení XML a binární serializace. </w:t>
      </w:r>
    </w:p>
    <w:p w:rsidR="00000000" w:rsidDel="00000000" w:rsidP="00000000" w:rsidRDefault="00000000" w:rsidRPr="00000000" w14:paraId="00000013">
      <w:pPr>
        <w:pStyle w:val="Heading1"/>
        <w:ind w:left="0" w:hanging="2"/>
        <w:rPr/>
      </w:pPr>
      <w:bookmarkStart w:colFirst="0" w:colLast="0" w:name="_heading=h.exlj16mcv1lp" w:id="10"/>
      <w:bookmarkEnd w:id="10"/>
      <w:r w:rsidDel="00000000" w:rsidR="00000000" w:rsidRPr="00000000">
        <w:rPr>
          <w:rtl w:val="0"/>
        </w:rPr>
        <w:t xml:space="preserve">1 Předmět</w:t>
      </w:r>
    </w:p>
    <w:p w:rsidR="00000000" w:rsidDel="00000000" w:rsidP="00000000" w:rsidRDefault="00000000" w:rsidRPr="00000000" w14:paraId="000000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Popisovaný dokument definuje aplikaci TPEG </w:t>
      </w:r>
      <w:r w:rsidDel="00000000" w:rsidR="00000000" w:rsidRPr="00000000">
        <w:rPr>
          <w:rtl w:val="0"/>
        </w:rPr>
        <w:t xml:space="preserve">SPI</w:t>
      </w:r>
      <w:r w:rsidDel="00000000" w:rsidR="00000000" w:rsidRPr="00000000">
        <w:rPr>
          <w:color w:val="000000"/>
          <w:rtl w:val="0"/>
        </w:rPr>
        <w:t xml:space="preserve"> „</w:t>
      </w:r>
      <w:r w:rsidDel="00000000" w:rsidR="00000000" w:rsidRPr="00000000">
        <w:rPr>
          <w:rtl w:val="0"/>
        </w:rPr>
        <w:t xml:space="preserve">Aplikace pro informace o rychlostních omezeních“</w:t>
      </w:r>
      <w:r w:rsidDel="00000000" w:rsidR="00000000" w:rsidRPr="00000000">
        <w:rPr>
          <w:color w:val="000000"/>
          <w:rtl w:val="0"/>
        </w:rPr>
        <w:t xml:space="preserve">.</w:t>
      </w:r>
      <w:r w:rsidDel="00000000" w:rsidR="00000000" w:rsidRPr="00000000">
        <w:rPr>
          <w:rtl w:val="0"/>
        </w:rPr>
        <w:t xml:space="preserve"> Ta</w:t>
      </w:r>
      <w:r w:rsidDel="00000000" w:rsidR="00000000" w:rsidRPr="00000000">
        <w:rPr>
          <w:color w:val="000000"/>
          <w:rtl w:val="0"/>
        </w:rPr>
        <w:t xml:space="preserve"> umožňuje poskytování a interpretaci </w:t>
      </w:r>
      <w:r w:rsidDel="00000000" w:rsidR="00000000" w:rsidRPr="00000000">
        <w:rPr>
          <w:rtl w:val="0"/>
        </w:rPr>
        <w:t xml:space="preserve">informací o regulatorních rychlostních limitech, daných buď explicitně dopravní </w:t>
      </w:r>
      <w:r w:rsidDel="00000000" w:rsidR="00000000" w:rsidRPr="00000000">
        <w:rPr>
          <w:rtl w:val="0"/>
        </w:rPr>
        <w:t xml:space="preserve">značkou</w:t>
      </w:r>
      <w:r w:rsidDel="00000000" w:rsidR="00000000" w:rsidRPr="00000000">
        <w:rPr>
          <w:rtl w:val="0"/>
        </w:rPr>
        <w:t xml:space="preserve"> či implicitně přikázaným odstupem mezi vozidly. Informace o omezení rychlosti jsou navrženy s maximální efektivitou využití přenosového pásma. Používá se vždy (delší) liniová lokace (způsob odkázání se na polohu se neřeší) a na ní jsou definovány úseky s platností omezení rychlosti dle jízdního pruhu, typu vozidla či časové platnosti. Jedná se například o popis dočasného omezení rychlosti dané nehodou v pravém jízdním pruhu.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1"/>
        <w:ind w:left="0" w:hanging="2"/>
        <w:rPr/>
      </w:pPr>
      <w:bookmarkStart w:colFirst="0" w:colLast="0" w:name="_heading=h.rwk302au4u2u" w:id="11"/>
      <w:bookmarkEnd w:id="11"/>
      <w:r w:rsidDel="00000000" w:rsidR="00000000" w:rsidRPr="00000000">
        <w:rPr>
          <w:rtl w:val="0"/>
        </w:rPr>
        <w:t xml:space="preserve">3 Termíny a definice</w:t>
      </w:r>
    </w:p>
    <w:p w:rsidR="00000000" w:rsidDel="00000000" w:rsidP="00000000" w:rsidRDefault="00000000" w:rsidRPr="00000000" w14:paraId="000000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tyjcwt" w:id="12"/>
      <w:bookmarkEnd w:id="12"/>
      <w:r w:rsidDel="00000000" w:rsidR="00000000" w:rsidRPr="00000000">
        <w:rPr>
          <w:color w:val="000000"/>
          <w:rtl w:val="0"/>
        </w:rPr>
        <w:t xml:space="preserve">Tato kapitola definuje 1 termín. </w:t>
      </w:r>
    </w:p>
    <w:p w:rsidR="00000000" w:rsidDel="00000000" w:rsidP="00000000" w:rsidRDefault="00000000" w:rsidRPr="00000000" w14:paraId="000000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3dy6vkm" w:id="13"/>
      <w:bookmarkEnd w:id="13"/>
      <w:r w:rsidDel="00000000" w:rsidR="00000000" w:rsidRPr="00000000">
        <w:rPr>
          <w:b w:val="1"/>
          <w:rtl w:val="0"/>
        </w:rPr>
        <w:t xml:space="preserve">Omezení rychlosti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rtl w:val="0"/>
        </w:rPr>
        <w:t xml:space="preserve">(speed limit) </w:t>
      </w:r>
      <w:r w:rsidDel="00000000" w:rsidR="00000000" w:rsidRPr="00000000">
        <w:rPr>
          <w:rtl w:val="0"/>
        </w:rPr>
        <w:t xml:space="preserve">maximální (či v některých případech minimální) rychlost jízdy vozidel na dané části pozemní komunikace.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1"/>
        <w:ind w:left="0" w:hanging="2"/>
        <w:rPr/>
      </w:pPr>
      <w:bookmarkStart w:colFirst="0" w:colLast="0" w:name="_heading=h.k2373fclpmbw" w:id="14"/>
      <w:bookmarkEnd w:id="14"/>
      <w:r w:rsidDel="00000000" w:rsidR="00000000" w:rsidRPr="00000000">
        <w:rPr>
          <w:rtl w:val="0"/>
        </w:rPr>
        <w:t xml:space="preserve">4 Zkratky</w:t>
      </w:r>
    </w:p>
    <w:p w:rsidR="00000000" w:rsidDel="00000000" w:rsidP="00000000" w:rsidRDefault="00000000" w:rsidRPr="00000000" w14:paraId="000000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stanovuje 19 zkratek, důležité z pohledu tohoto extraktu jsou: </w:t>
      </w:r>
    </w:p>
    <w:p w:rsidR="00000000" w:rsidDel="00000000" w:rsidP="00000000" w:rsidRDefault="00000000" w:rsidRPr="00000000" w14:paraId="000000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MMC</w:t>
      </w:r>
      <w:r w:rsidDel="00000000" w:rsidR="00000000" w:rsidRPr="00000000">
        <w:rPr>
          <w:color w:val="000000"/>
          <w:rtl w:val="0"/>
        </w:rPr>
        <w:tab/>
        <w:t xml:space="preserve">kontejner pro management zpráv </w:t>
      </w:r>
      <w:r w:rsidDel="00000000" w:rsidR="00000000" w:rsidRPr="00000000">
        <w:rPr>
          <w:i w:val="1"/>
          <w:color w:val="000000"/>
          <w:rtl w:val="0"/>
        </w:rPr>
        <w:t xml:space="preserve">(Message Management Container)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i w:val="1"/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ADC</w:t>
        <w:tab/>
      </w:r>
      <w:r w:rsidDel="00000000" w:rsidR="00000000" w:rsidRPr="00000000">
        <w:rPr>
          <w:color w:val="000000"/>
          <w:rtl w:val="0"/>
        </w:rPr>
        <w:t xml:space="preserve">kontejner pro popis aplikace </w:t>
      </w:r>
      <w:r w:rsidDel="00000000" w:rsidR="00000000" w:rsidRPr="00000000">
        <w:rPr>
          <w:i w:val="1"/>
          <w:color w:val="000000"/>
          <w:rtl w:val="0"/>
        </w:rPr>
        <w:t xml:space="preserve">(Application Data Container) </w:t>
      </w:r>
    </w:p>
    <w:p w:rsidR="00000000" w:rsidDel="00000000" w:rsidP="00000000" w:rsidRDefault="00000000" w:rsidRPr="00000000" w14:paraId="0000001C">
      <w:pPr>
        <w:ind w:left="0" w:hanging="2"/>
        <w:rPr>
          <w:i w:val="1"/>
        </w:rPr>
      </w:pPr>
      <w:r w:rsidDel="00000000" w:rsidR="00000000" w:rsidRPr="00000000">
        <w:rPr>
          <w:b w:val="1"/>
          <w:rtl w:val="0"/>
        </w:rPr>
        <w:t xml:space="preserve">LRC</w:t>
        <w:tab/>
      </w:r>
      <w:r w:rsidDel="00000000" w:rsidR="00000000" w:rsidRPr="00000000">
        <w:rPr>
          <w:rtl w:val="0"/>
        </w:rPr>
        <w:t xml:space="preserve">kontejner pro odkazování na polohu </w:t>
      </w:r>
      <w:r w:rsidDel="00000000" w:rsidR="00000000" w:rsidRPr="00000000">
        <w:rPr>
          <w:i w:val="1"/>
          <w:rtl w:val="0"/>
        </w:rPr>
        <w:t xml:space="preserve">(Location Referencing Container)</w:t>
      </w:r>
    </w:p>
    <w:p w:rsidR="00000000" w:rsidDel="00000000" w:rsidP="00000000" w:rsidRDefault="00000000" w:rsidRPr="00000000" w14:paraId="0000001D">
      <w:pPr>
        <w:ind w:left="0" w:hanging="2"/>
        <w:rPr>
          <w:i w:val="1"/>
        </w:rPr>
      </w:pPr>
      <w:r w:rsidDel="00000000" w:rsidR="00000000" w:rsidRPr="00000000">
        <w:rPr>
          <w:b w:val="1"/>
          <w:rtl w:val="0"/>
        </w:rPr>
        <w:t xml:space="preserve">TPEG</w:t>
        <w:tab/>
      </w:r>
      <w:r w:rsidDel="00000000" w:rsidR="00000000" w:rsidRPr="00000000">
        <w:rPr>
          <w:rtl w:val="0"/>
        </w:rPr>
        <w:t xml:space="preserve">framework poskytující formáty a protokoly pro poskytování dopravních informací, optimalizovaných na šíření prostřednictvím digitálního rozhlasu či Internetu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i w:val="1"/>
          <w:color w:val="000000"/>
          <w:sz w:val="18"/>
          <w:szCs w:val="18"/>
          <w:rtl w:val="0"/>
        </w:rPr>
        <w:t xml:space="preserve">Poznámka: Další termíny a zkratky z oboru ITS jsou obsaženy ve slovníku ITS terminology (</w:t>
      </w:r>
      <w:hyperlink r:id="rId8">
        <w:r w:rsidDel="00000000" w:rsidR="00000000" w:rsidRPr="00000000">
          <w:rPr>
            <w:i w:val="1"/>
            <w:color w:val="000000"/>
            <w:sz w:val="18"/>
            <w:szCs w:val="18"/>
            <w:rtl w:val="0"/>
          </w:rPr>
          <w:t xml:space="preserve">www.itsterminology.org</w:t>
        </w:r>
      </w:hyperlink>
      <w:r w:rsidDel="00000000" w:rsidR="00000000" w:rsidRPr="00000000">
        <w:rPr>
          <w:i w:val="1"/>
          <w:color w:val="000000"/>
          <w:sz w:val="18"/>
          <w:szCs w:val="18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1"/>
        <w:ind w:left="0" w:hanging="2"/>
        <w:rPr/>
      </w:pPr>
      <w:bookmarkStart w:colFirst="0" w:colLast="0" w:name="_heading=h.qfqfpgofc94p" w:id="15"/>
      <w:bookmarkEnd w:id="15"/>
      <w:r w:rsidDel="00000000" w:rsidR="00000000" w:rsidRPr="00000000">
        <w:rPr>
          <w:rtl w:val="0"/>
        </w:rPr>
        <w:t xml:space="preserve">5 Podmínky a omezení aplikace</w:t>
      </w:r>
    </w:p>
    <w:p w:rsidR="00000000" w:rsidDel="00000000" w:rsidP="00000000" w:rsidRDefault="00000000" w:rsidRPr="00000000" w14:paraId="000000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1t3h5sf" w:id="16"/>
      <w:bookmarkEnd w:id="16"/>
      <w:r w:rsidDel="00000000" w:rsidR="00000000" w:rsidRPr="00000000">
        <w:rPr>
          <w:color w:val="000000"/>
          <w:rtl w:val="0"/>
        </w:rPr>
        <w:t xml:space="preserve">Tato kapitola (rozsah 1 strana) vymezuje: 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Identifikátor aplikace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který je stanovený pro všechny aplikace v TS 21219-1.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Verzi aplikace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 Verze je klíčová z pohledu dekodéru, jednotlivé verze stejné aplikace se totiž mohou od sebe lišit strukturou, obsahem atp. 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Pořadí kontejnerů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ze kterých je zpráva složena. Zpráva se skládá z kontejneru pro management zpráv (MMC), volitelně kontejneru pro popis aplikace (ADC) a kontejneru pro odkazování na polohu (LRC). 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Rozšiřitelnost a zpětnou kompatibilitu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jako požadavek na přeskočení neznámých částí zprávy dekodérem a specifikaci v budoucnu rozšiřitelných částí struktur TPEG zprávy.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Rámec komponent služby TPEG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dle ISO/TS 21219-5.</w:t>
      </w:r>
    </w:p>
    <w:p w:rsidR="00000000" w:rsidDel="00000000" w:rsidP="00000000" w:rsidRDefault="00000000" w:rsidRPr="00000000" w14:paraId="00000026">
      <w:pPr>
        <w:pStyle w:val="Heading1"/>
        <w:ind w:left="0" w:hanging="2"/>
        <w:rPr/>
      </w:pPr>
      <w:bookmarkStart w:colFirst="0" w:colLast="0" w:name="_heading=h.70y3xb1dvgqi" w:id="17"/>
      <w:bookmarkEnd w:id="17"/>
      <w:r w:rsidDel="00000000" w:rsidR="00000000" w:rsidRPr="00000000">
        <w:rPr>
          <w:rtl w:val="0"/>
        </w:rPr>
        <w:t xml:space="preserve">6 Struktura SPI</w:t>
      </w:r>
    </w:p>
    <w:p w:rsidR="00000000" w:rsidDel="00000000" w:rsidP="00000000" w:rsidRDefault="00000000" w:rsidRPr="00000000" w14:paraId="000000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1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color w:val="000000"/>
          <w:rtl w:val="0"/>
        </w:rPr>
        <w:t xml:space="preserve">brázek) obsahuje UML model zprávy aplikace </w:t>
      </w:r>
      <w:r w:rsidDel="00000000" w:rsidR="00000000" w:rsidRPr="00000000">
        <w:rPr>
          <w:rtl w:val="0"/>
        </w:rPr>
        <w:t xml:space="preserve">SPI.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left="0" w:hanging="2"/>
        <w:rPr/>
      </w:pPr>
      <w:bookmarkStart w:colFirst="0" w:colLast="0" w:name="_heading=h.4d34og8" w:id="18"/>
      <w:bookmarkEnd w:id="18"/>
      <w:r w:rsidDel="00000000" w:rsidR="00000000" w:rsidRPr="00000000">
        <w:rPr/>
        <w:drawing>
          <wp:inline distB="0" distT="0" distL="0" distR="0">
            <wp:extent cx="5760720" cy="3761105"/>
            <wp:effectExtent b="0" l="0" r="0" t="0"/>
            <wp:docPr id="104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6110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Rule="auto"/>
        <w:ind w:left="0" w:hanging="2"/>
        <w:jc w:val="center"/>
        <w:rPr>
          <w:color w:val="000000"/>
          <w:sz w:val="18"/>
          <w:szCs w:val="18"/>
        </w:rPr>
      </w:pPr>
      <w:r w:rsidDel="00000000" w:rsidR="00000000" w:rsidRPr="00000000">
        <w:rPr>
          <w:color w:val="000000"/>
          <w:sz w:val="18"/>
          <w:szCs w:val="18"/>
          <w:rtl w:val="0"/>
        </w:rPr>
        <w:t xml:space="preserve">Obrázek 1 - UML model tříd aplikace </w:t>
      </w:r>
      <w:r w:rsidDel="00000000" w:rsidR="00000000" w:rsidRPr="00000000">
        <w:rPr>
          <w:sz w:val="18"/>
          <w:szCs w:val="18"/>
          <w:rtl w:val="0"/>
        </w:rPr>
        <w:t xml:space="preserve">SPI </w:t>
      </w:r>
      <w:r w:rsidDel="00000000" w:rsidR="00000000" w:rsidRPr="00000000">
        <w:rPr>
          <w:color w:val="000000"/>
          <w:sz w:val="18"/>
          <w:szCs w:val="18"/>
          <w:rtl w:val="0"/>
        </w:rPr>
        <w:t xml:space="preserve">(obrázek 2 normy)</w:t>
      </w:r>
    </w:p>
    <w:p w:rsidR="00000000" w:rsidDel="00000000" w:rsidP="00000000" w:rsidRDefault="00000000" w:rsidRPr="00000000" w14:paraId="0000002A">
      <w:pPr>
        <w:pStyle w:val="Heading1"/>
        <w:ind w:left="0" w:hanging="2"/>
        <w:rPr/>
      </w:pPr>
      <w:bookmarkStart w:colFirst="0" w:colLast="0" w:name="_heading=h.zeeuw5iep7ap" w:id="19"/>
      <w:bookmarkEnd w:id="19"/>
      <w:r w:rsidDel="00000000" w:rsidR="00000000" w:rsidRPr="00000000">
        <w:rPr>
          <w:rtl w:val="0"/>
        </w:rPr>
        <w:t xml:space="preserve">7 Komponenty zprávy SPI</w:t>
      </w:r>
    </w:p>
    <w:p w:rsidR="00000000" w:rsidDel="00000000" w:rsidP="00000000" w:rsidRDefault="00000000" w:rsidRPr="00000000" w14:paraId="000000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</w:t>
      </w:r>
      <w:r w:rsidDel="00000000" w:rsidR="00000000" w:rsidRPr="00000000">
        <w:rPr>
          <w:rtl w:val="0"/>
        </w:rPr>
        <w:t xml:space="preserve">3</w:t>
      </w:r>
      <w:r w:rsidDel="00000000" w:rsidR="00000000" w:rsidRPr="00000000">
        <w:rPr>
          <w:color w:val="000000"/>
          <w:rtl w:val="0"/>
        </w:rPr>
        <w:t xml:space="preserve"> strany, 2 tabulky) popisuje jednotlivé komponenty zprávy </w:t>
      </w:r>
      <w:r w:rsidDel="00000000" w:rsidR="00000000" w:rsidRPr="00000000">
        <w:rPr>
          <w:rtl w:val="0"/>
        </w:rPr>
        <w:t xml:space="preserve">SPI</w:t>
      </w:r>
      <w:r w:rsidDel="00000000" w:rsidR="00000000" w:rsidRPr="00000000">
        <w:rPr>
          <w:color w:val="000000"/>
          <w:rtl w:val="0"/>
        </w:rPr>
        <w:t xml:space="preserve">.</w:t>
      </w:r>
    </w:p>
    <w:p w:rsidR="00000000" w:rsidDel="00000000" w:rsidP="00000000" w:rsidRDefault="00000000" w:rsidRPr="00000000" w14:paraId="000000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rtl w:val="0"/>
        </w:rPr>
        <w:t xml:space="preserve">Stanovuje základní strukturu zprávy SPI, „SpeedInformationMessage“ může obsahovat informaci o omezení rychlosti (včetně typu, času, platnosti, a úseků) a informaci o poloze, ne nezbytně té samé zprávě. Popis polohy není specifikován.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8 Datové typy </w:t>
      </w:r>
      <w:r w:rsidDel="00000000" w:rsidR="00000000" w:rsidRPr="00000000">
        <w:rPr>
          <w:b w:val="1"/>
          <w:sz w:val="22"/>
          <w:szCs w:val="22"/>
          <w:rtl w:val="0"/>
        </w:rPr>
        <w:t xml:space="preserve">SPI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17dp8vu" w:id="20"/>
      <w:bookmarkEnd w:id="20"/>
      <w:r w:rsidDel="00000000" w:rsidR="00000000" w:rsidRPr="00000000">
        <w:rPr>
          <w:color w:val="000000"/>
          <w:rtl w:val="0"/>
        </w:rPr>
        <w:t xml:space="preserve">Tato kapitola (rozsah 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color w:val="000000"/>
          <w:rtl w:val="0"/>
        </w:rPr>
        <w:t xml:space="preserve"> stran, 2 tabulky) obsahuje </w:t>
      </w:r>
      <w:r w:rsidDel="00000000" w:rsidR="00000000" w:rsidRPr="00000000">
        <w:rPr>
          <w:b w:val="1"/>
          <w:color w:val="000000"/>
          <w:rtl w:val="0"/>
        </w:rPr>
        <w:t xml:space="preserve">definice</w:t>
      </w:r>
      <w:r w:rsidDel="00000000" w:rsidR="00000000" w:rsidRPr="00000000">
        <w:rPr>
          <w:color w:val="000000"/>
          <w:rtl w:val="0"/>
        </w:rPr>
        <w:t xml:space="preserve"> 2 použitých datových struktur (typů), </w:t>
      </w:r>
      <w:r w:rsidDel="00000000" w:rsidR="00000000" w:rsidRPr="00000000">
        <w:rPr>
          <w:b w:val="1"/>
          <w:rtl w:val="0"/>
        </w:rPr>
        <w:t xml:space="preserve">LaneNumber</w:t>
      </w:r>
      <w:r w:rsidDel="00000000" w:rsidR="00000000" w:rsidRPr="00000000">
        <w:rPr>
          <w:rtl w:val="0"/>
        </w:rPr>
        <w:t xml:space="preserve"> a </w:t>
      </w:r>
      <w:r w:rsidDel="00000000" w:rsidR="00000000" w:rsidRPr="00000000">
        <w:rPr>
          <w:b w:val="1"/>
          <w:rtl w:val="0"/>
        </w:rPr>
        <w:t xml:space="preserve">SpeedLimitSegment</w:t>
      </w:r>
      <w:r w:rsidDel="00000000" w:rsidR="00000000" w:rsidRPr="00000000">
        <w:rPr>
          <w:color w:val="000000"/>
          <w:rtl w:val="0"/>
        </w:rPr>
        <w:t xml:space="preserve">.  Na obrázku níže (Obrázek 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color w:val="000000"/>
          <w:rtl w:val="0"/>
        </w:rPr>
        <w:t xml:space="preserve">) je, pro ilustraci obsahu a sloupců, uvedena část tabulky popisující datovou strukturu </w:t>
      </w:r>
      <w:r w:rsidDel="00000000" w:rsidR="00000000" w:rsidRPr="00000000">
        <w:rPr>
          <w:b w:val="1"/>
          <w:rtl w:val="0"/>
        </w:rPr>
        <w:t xml:space="preserve">SpeedLimitSegment</w:t>
      </w:r>
      <w:r w:rsidDel="00000000" w:rsidR="00000000" w:rsidRPr="00000000">
        <w:rPr>
          <w:color w:val="000000"/>
          <w:rtl w:val="0"/>
        </w:rPr>
        <w:t xml:space="preserve">.</w:t>
      </w:r>
    </w:p>
    <w:p w:rsidR="00000000" w:rsidDel="00000000" w:rsidP="00000000" w:rsidRDefault="00000000" w:rsidRPr="00000000" w14:paraId="000000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</w:rPr>
        <w:drawing>
          <wp:inline distB="0" distT="0" distL="0" distR="0">
            <wp:extent cx="5760720" cy="2435225"/>
            <wp:effectExtent b="0" l="0" r="0" t="0"/>
            <wp:docPr id="104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352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Rule="auto"/>
        <w:ind w:left="0" w:hanging="2"/>
        <w:jc w:val="center"/>
        <w:rPr>
          <w:color w:val="000000"/>
          <w:sz w:val="18"/>
          <w:szCs w:val="18"/>
        </w:rPr>
      </w:pPr>
      <w:bookmarkStart w:colFirst="0" w:colLast="0" w:name="_heading=h.3rdcrjn" w:id="21"/>
      <w:bookmarkEnd w:id="21"/>
      <w:r w:rsidDel="00000000" w:rsidR="00000000" w:rsidRPr="00000000">
        <w:rPr>
          <w:sz w:val="18"/>
          <w:szCs w:val="18"/>
          <w:rtl w:val="0"/>
        </w:rPr>
        <w:t xml:space="preserve">Obrázek 2 - Ukázka části struktury </w:t>
      </w:r>
      <w:r w:rsidDel="00000000" w:rsidR="00000000" w:rsidRPr="00000000">
        <w:rPr>
          <w:b w:val="1"/>
          <w:rtl w:val="0"/>
        </w:rPr>
        <w:t xml:space="preserve">SpeedLimitSegment</w:t>
      </w:r>
      <w:r w:rsidDel="00000000" w:rsidR="00000000" w:rsidRPr="00000000">
        <w:rPr>
          <w:sz w:val="18"/>
          <w:szCs w:val="18"/>
          <w:rtl w:val="0"/>
        </w:rPr>
        <w:t xml:space="preserve"> (tabulka 4 normy)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Struktury se skládají ze složitých či jednoduchých datových objektů, výskyt každé položky datové struktury (</w:t>
      </w:r>
      <w:r w:rsidDel="00000000" w:rsidR="00000000" w:rsidRPr="00000000">
        <w:rPr>
          <w:rtl w:val="0"/>
        </w:rPr>
        <w:t xml:space="preserve">tj.</w:t>
      </w:r>
      <w:r w:rsidDel="00000000" w:rsidR="00000000" w:rsidRPr="00000000">
        <w:rPr>
          <w:color w:val="000000"/>
          <w:rtl w:val="0"/>
        </w:rPr>
        <w:t xml:space="preserve"> její multiplicita) je doplněn datovým typem a popisem. Tabulka níže uvádí datové struktury stanovené v této kapitole.</w:t>
      </w:r>
    </w:p>
    <w:p w:rsidR="00000000" w:rsidDel="00000000" w:rsidP="00000000" w:rsidRDefault="00000000" w:rsidRPr="00000000" w14:paraId="00000032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bookmarkStart w:colFirst="0" w:colLast="0" w:name="_heading=h.lnxbz9" w:id="22"/>
      <w:bookmarkEnd w:id="22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9 Tabulky </w:t>
      </w:r>
      <w:r w:rsidDel="00000000" w:rsidR="00000000" w:rsidRPr="00000000">
        <w:rPr>
          <w:b w:val="1"/>
          <w:sz w:val="22"/>
          <w:szCs w:val="22"/>
          <w:rtl w:val="0"/>
        </w:rPr>
        <w:t xml:space="preserve">SPI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</w:t>
      </w: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color w:val="000000"/>
          <w:rtl w:val="0"/>
        </w:rPr>
        <w:t xml:space="preserve"> strany) obsahuje definice výčtových typů aplikace </w:t>
      </w:r>
      <w:r w:rsidDel="00000000" w:rsidR="00000000" w:rsidRPr="00000000">
        <w:rPr>
          <w:rtl w:val="0"/>
        </w:rPr>
        <w:t xml:space="preserve">SPI</w:t>
      </w:r>
      <w:r w:rsidDel="00000000" w:rsidR="00000000" w:rsidRPr="00000000">
        <w:rPr>
          <w:color w:val="000000"/>
          <w:rtl w:val="0"/>
        </w:rPr>
        <w:t xml:space="preserve"> (v 4 tabulkách).  Následující tabulka jmenovitě uvádí jednotlivé tabulky a doplňuje je popisem a příkladem obsahu.</w:t>
      </w:r>
    </w:p>
    <w:p w:rsidR="00000000" w:rsidDel="00000000" w:rsidP="00000000" w:rsidRDefault="00000000" w:rsidRPr="00000000" w14:paraId="00000034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sz w:val="18"/>
          <w:szCs w:val="18"/>
        </w:rPr>
      </w:pPr>
      <w:bookmarkStart w:colFirst="0" w:colLast="0" w:name="_heading=h.iykewot5vw7m" w:id="23"/>
      <w:bookmarkEnd w:id="23"/>
      <w:r w:rsidDel="00000000" w:rsidR="00000000" w:rsidRPr="00000000">
        <w:rPr>
          <w:sz w:val="18"/>
          <w:szCs w:val="18"/>
          <w:rtl w:val="0"/>
        </w:rPr>
        <w:t xml:space="preserve">Tabulka 1 - Seznam tabulek SPI (výčtů hodnot) (zdroj: autor extraktu)</w:t>
      </w:r>
    </w:p>
    <w:tbl>
      <w:tblPr>
        <w:tblStyle w:val="Table2"/>
        <w:tblW w:w="9060.0" w:type="dxa"/>
        <w:jc w:val="left"/>
        <w:tblInd w:w="131.0" w:type="dxa"/>
        <w:tblLayout w:type="fixed"/>
        <w:tblLook w:val="0000"/>
      </w:tblPr>
      <w:tblGrid>
        <w:gridCol w:w="2519"/>
        <w:gridCol w:w="3690"/>
        <w:gridCol w:w="2851"/>
        <w:tblGridChange w:id="0">
          <w:tblGrid>
            <w:gridCol w:w="2519"/>
            <w:gridCol w:w="3690"/>
            <w:gridCol w:w="2851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Tabulka SPI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Popis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Obsah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spi001:SpeedInformationType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Výčet různých typů rychlostního omezení.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př.:001: static speed limit sign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bookmarkStart w:colFirst="0" w:colLast="0" w:name="_heading=h.2jxsxqh" w:id="24"/>
            <w:bookmarkEnd w:id="24"/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spi002:Context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Výčet kontextů pro informaci řidiči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003: weather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bookmarkStart w:colFirst="0" w:colLast="0" w:name="_heading=h.z337ya" w:id="25"/>
            <w:bookmarkEnd w:id="25"/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spi003:VehicleType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Výčet typů vozidel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002: bus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bookmarkStart w:colFirst="0" w:colLast="0" w:name="_heading=h.3j2qqm3" w:id="26"/>
            <w:bookmarkEnd w:id="26"/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spi004:InformationUnit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Výčet typů jednotek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003: metresPerSecond</w:t>
            </w:r>
          </w:p>
        </w:tc>
      </w:tr>
    </w:tbl>
    <w:p w:rsidR="00000000" w:rsidDel="00000000" w:rsidP="00000000" w:rsidRDefault="00000000" w:rsidRPr="00000000" w14:paraId="0000004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Následující tabulka obsahuje ukázku tabulky „</w:t>
      </w:r>
      <w:r w:rsidDel="00000000" w:rsidR="00000000" w:rsidRPr="00000000">
        <w:rPr>
          <w:rtl w:val="0"/>
        </w:rPr>
        <w:t xml:space="preserve">SPI002:ModeType</w:t>
      </w:r>
      <w:r w:rsidDel="00000000" w:rsidR="00000000" w:rsidRPr="00000000">
        <w:rPr>
          <w:color w:val="000000"/>
          <w:rtl w:val="0"/>
        </w:rPr>
        <w:t xml:space="preserve">” z popisovaného dokumentu.</w:t>
      </w:r>
    </w:p>
    <w:p w:rsidR="00000000" w:rsidDel="00000000" w:rsidP="00000000" w:rsidRDefault="00000000" w:rsidRPr="00000000" w14:paraId="00000046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color w:val="000000"/>
          <w:sz w:val="18"/>
          <w:szCs w:val="18"/>
        </w:rPr>
      </w:pPr>
      <w:bookmarkStart w:colFirst="0" w:colLast="0" w:name="_heading=h.wpo5mx1gy36r" w:id="27"/>
      <w:bookmarkEnd w:id="27"/>
      <w:r w:rsidDel="00000000" w:rsidR="00000000" w:rsidRPr="00000000">
        <w:rPr>
          <w:color w:val="000000"/>
          <w:sz w:val="18"/>
          <w:szCs w:val="18"/>
          <w:rtl w:val="0"/>
        </w:rPr>
        <w:t xml:space="preserve">Tabulka 2 -</w:t>
      </w:r>
      <w:r w:rsidDel="00000000" w:rsidR="00000000" w:rsidRPr="00000000">
        <w:rPr>
          <w:b w:val="1"/>
          <w:sz w:val="22"/>
          <w:szCs w:val="22"/>
          <w:rtl w:val="0"/>
        </w:rPr>
        <w:t xml:space="preserve"> </w:t>
      </w:r>
      <w:r w:rsidDel="00000000" w:rsidR="00000000" w:rsidRPr="00000000">
        <w:rPr>
          <w:color w:val="000000"/>
          <w:sz w:val="18"/>
          <w:szCs w:val="18"/>
          <w:rtl w:val="0"/>
        </w:rPr>
        <w:t xml:space="preserve">Příklad části definice výčtového typu </w:t>
      </w:r>
      <w:r w:rsidDel="00000000" w:rsidR="00000000" w:rsidRPr="00000000">
        <w:rPr>
          <w:sz w:val="18"/>
          <w:szCs w:val="18"/>
          <w:rtl w:val="0"/>
        </w:rPr>
        <w:t xml:space="preserve">SPI002:Context</w:t>
      </w:r>
      <w:r w:rsidDel="00000000" w:rsidR="00000000" w:rsidRPr="00000000">
        <w:rPr>
          <w:color w:val="000000"/>
          <w:sz w:val="18"/>
          <w:szCs w:val="18"/>
          <w:rtl w:val="0"/>
        </w:rPr>
        <w:t xml:space="preserve"> (tabulka 6 normy)</w:t>
      </w:r>
    </w:p>
    <w:tbl>
      <w:tblPr>
        <w:tblStyle w:val="Table3"/>
        <w:tblW w:w="9044.0" w:type="dxa"/>
        <w:jc w:val="left"/>
        <w:tblInd w:w="131.0" w:type="dxa"/>
        <w:tblLayout w:type="fixed"/>
        <w:tblLook w:val="0000"/>
      </w:tblPr>
      <w:tblGrid>
        <w:gridCol w:w="2519"/>
        <w:gridCol w:w="2550"/>
        <w:gridCol w:w="3975"/>
        <w:tblGridChange w:id="0">
          <w:tblGrid>
            <w:gridCol w:w="2519"/>
            <w:gridCol w:w="2550"/>
            <w:gridCol w:w="397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Kód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Fráze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komentář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001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neznámý (unknown)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Neznámý důvod rychlostního omezení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002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doprava (traffic)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Omezení rychlosti z důvodu dopravy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003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nehoda (accident)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Omezení rychlosti z důvodu nehody</w:t>
            </w:r>
          </w:p>
        </w:tc>
      </w:tr>
    </w:tbl>
    <w:p w:rsidR="00000000" w:rsidDel="00000000" w:rsidP="00000000" w:rsidRDefault="00000000" w:rsidRPr="00000000" w14:paraId="00000053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bookmarkStart w:colFirst="0" w:colLast="0" w:name="_heading=h.35nkun2" w:id="28"/>
      <w:bookmarkEnd w:id="28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Příloha A (</w:t>
      </w:r>
      <w:r w:rsidDel="00000000" w:rsidR="00000000" w:rsidRPr="00000000">
        <w:rPr>
          <w:b w:val="1"/>
          <w:sz w:val="22"/>
          <w:szCs w:val="22"/>
          <w:rtl w:val="0"/>
        </w:rPr>
        <w:t xml:space="preserve">normativní</w:t>
      </w: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) TPEG-bin reprezentace </w:t>
      </w:r>
      <w:r w:rsidDel="00000000" w:rsidR="00000000" w:rsidRPr="00000000">
        <w:rPr>
          <w:b w:val="1"/>
          <w:sz w:val="22"/>
          <w:szCs w:val="22"/>
          <w:rtl w:val="0"/>
        </w:rPr>
        <w:t xml:space="preserve">SPI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1ksv4uv" w:id="29"/>
      <w:bookmarkEnd w:id="29"/>
      <w:r w:rsidDel="00000000" w:rsidR="00000000" w:rsidRPr="00000000">
        <w:rPr>
          <w:color w:val="000000"/>
          <w:rtl w:val="0"/>
        </w:rPr>
        <w:t xml:space="preserve">Tato příloha (rozsah 4 strany) stanovuje binární reprezentaci aplikace </w:t>
      </w:r>
      <w:r w:rsidDel="00000000" w:rsidR="00000000" w:rsidRPr="00000000">
        <w:rPr>
          <w:rtl w:val="0"/>
        </w:rPr>
        <w:t xml:space="preserve">SPI</w:t>
      </w:r>
      <w:r w:rsidDel="00000000" w:rsidR="00000000" w:rsidRPr="00000000">
        <w:rPr>
          <w:color w:val="000000"/>
          <w:rtl w:val="0"/>
        </w:rPr>
        <w:t xml:space="preserve"> pro použití v DAB. Pro popis binární reprezentace je použit pseudokód, kde pro každé klíčové slovo zapsané struktury je znám jeho binární tvar.</w:t>
      </w:r>
    </w:p>
    <w:p w:rsidR="00000000" w:rsidDel="00000000" w:rsidP="00000000" w:rsidRDefault="00000000" w:rsidRPr="00000000" w14:paraId="0000005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44sinio" w:id="30"/>
      <w:bookmarkEnd w:id="30"/>
      <w:r w:rsidDel="00000000" w:rsidR="00000000" w:rsidRPr="00000000">
        <w:rPr>
          <w:color w:val="000000"/>
          <w:rtl w:val="0"/>
        </w:rPr>
        <w:t xml:space="preserve">Příloha obsahuje samostatně uvedené binární reprezentace rámce TPEG, zprávy </w:t>
      </w:r>
      <w:r w:rsidDel="00000000" w:rsidR="00000000" w:rsidRPr="00000000">
        <w:rPr>
          <w:rtl w:val="0"/>
        </w:rPr>
        <w:t xml:space="preserve">SPI</w:t>
      </w:r>
      <w:r w:rsidDel="00000000" w:rsidR="00000000" w:rsidRPr="00000000">
        <w:rPr>
          <w:color w:val="000000"/>
          <w:rtl w:val="0"/>
        </w:rPr>
        <w:t xml:space="preserve"> a jejích součástí, prvků určených pro budoucí rozšíření a datových typů. Dále obsahuje identifikátory komponent zprávy a vysvětlení použití obecných atributů TPEG. Příklad pseudokódu binární specifikace </w:t>
      </w:r>
      <w:r w:rsidDel="00000000" w:rsidR="00000000" w:rsidRPr="00000000">
        <w:rPr>
          <w:rtl w:val="0"/>
        </w:rPr>
        <w:t xml:space="preserve">prvku PTTravelDetails je uveden v</w:t>
      </w:r>
      <w:r w:rsidDel="00000000" w:rsidR="00000000" w:rsidRPr="00000000">
        <w:rPr>
          <w:color w:val="000000"/>
          <w:rtl w:val="0"/>
        </w:rPr>
        <w:t xml:space="preserve"> následující tabulce.</w:t>
      </w:r>
    </w:p>
    <w:p w:rsidR="00000000" w:rsidDel="00000000" w:rsidP="00000000" w:rsidRDefault="00000000" w:rsidRPr="00000000" w14:paraId="00000056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sz w:val="18"/>
          <w:szCs w:val="18"/>
        </w:rPr>
      </w:pPr>
      <w:bookmarkStart w:colFirst="0" w:colLast="0" w:name="_heading=h.y0ayy7lgb8no" w:id="31"/>
      <w:bookmarkEnd w:id="31"/>
      <w:r w:rsidDel="00000000" w:rsidR="00000000" w:rsidRPr="00000000">
        <w:rPr>
          <w:sz w:val="18"/>
          <w:szCs w:val="18"/>
          <w:rtl w:val="0"/>
        </w:rPr>
        <w:t xml:space="preserve">Tabulka 3 - Příklad pseudokódu binární specifikace </w:t>
      </w:r>
      <w:r w:rsidDel="00000000" w:rsidR="00000000" w:rsidRPr="00000000">
        <w:rPr>
          <w:sz w:val="18"/>
          <w:szCs w:val="18"/>
          <w:u w:val="single"/>
          <w:rtl w:val="0"/>
        </w:rPr>
        <w:t xml:space="preserve">prvku</w:t>
      </w:r>
      <w:r w:rsidDel="00000000" w:rsidR="00000000" w:rsidRPr="00000000">
        <w:rPr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  <w:t xml:space="preserve">SpeedInformationMessage</w:t>
      </w:r>
      <w:r w:rsidDel="00000000" w:rsidR="00000000" w:rsidRPr="00000000">
        <w:rPr>
          <w:sz w:val="18"/>
          <w:szCs w:val="18"/>
          <w:rtl w:val="0"/>
        </w:rPr>
        <w:t xml:space="preserve"> (článek A.4 normy)</w:t>
      </w:r>
    </w:p>
    <w:tbl>
      <w:tblPr>
        <w:tblStyle w:val="Table4"/>
        <w:tblW w:w="928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531"/>
        <w:gridCol w:w="4754"/>
        <w:tblGridChange w:id="0">
          <w:tblGrid>
            <w:gridCol w:w="4531"/>
            <w:gridCol w:w="475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7">
            <w:pPr>
              <w:spacing w:after="40" w:lineRule="auto"/>
              <w:ind w:left="0" w:hanging="2"/>
              <w:rPr/>
            </w:pPr>
            <w:r w:rsidDel="00000000" w:rsidR="00000000" w:rsidRPr="00000000">
              <w:rPr>
                <w:rtl w:val="0"/>
              </w:rPr>
              <w:t xml:space="preserve">&lt;SpeedInformationMessage(0)&gt;:=</w:t>
            </w:r>
          </w:p>
        </w:tc>
        <w:tc>
          <w:tcPr/>
          <w:p w:rsidR="00000000" w:rsidDel="00000000" w:rsidP="00000000" w:rsidRDefault="00000000" w:rsidRPr="00000000" w14:paraId="0000005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9">
            <w:pPr>
              <w:spacing w:after="40" w:lineRule="auto"/>
              <w:ind w:left="0" w:hanging="2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&lt;IntUnTi&gt;</w:t>
            </w:r>
            <w:r w:rsidDel="00000000" w:rsidR="00000000" w:rsidRPr="00000000">
              <w:rPr>
                <w:rtl w:val="0"/>
              </w:rPr>
              <w:t xml:space="preserve">(0),</w:t>
            </w:r>
          </w:p>
        </w:tc>
        <w:tc>
          <w:tcPr/>
          <w:p w:rsidR="00000000" w:rsidDel="00000000" w:rsidP="00000000" w:rsidRDefault="00000000" w:rsidRPr="00000000" w14:paraId="0000005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: Id této komponenty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B">
            <w:pPr>
              <w:spacing w:after="40" w:lineRule="auto"/>
              <w:ind w:left="0" w:hanging="2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&lt;IntUnLoMB&gt;</w:t>
            </w:r>
            <w:r w:rsidDel="00000000" w:rsidR="00000000" w:rsidRPr="00000000">
              <w:rPr>
                <w:rtl w:val="0"/>
              </w:rPr>
              <w:t xml:space="preserve">(lengthComp),</w:t>
            </w:r>
          </w:p>
        </w:tc>
        <w:tc>
          <w:tcPr/>
          <w:p w:rsidR="00000000" w:rsidDel="00000000" w:rsidP="00000000" w:rsidRDefault="00000000" w:rsidRPr="00000000" w14:paraId="0000005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: Počet bajtů v komponentě, kromě indikátorů id a lengthComp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D">
            <w:pPr>
              <w:spacing w:after="40" w:lineRule="auto"/>
              <w:ind w:left="0" w:hanging="2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&lt;IntUnLoMB&gt;</w:t>
            </w:r>
            <w:r w:rsidDel="00000000" w:rsidR="00000000" w:rsidRPr="00000000">
              <w:rPr>
                <w:rtl w:val="0"/>
              </w:rPr>
              <w:t xml:space="preserve">(lengthAttr),</w:t>
            </w:r>
          </w:p>
        </w:tc>
        <w:tc>
          <w:tcPr/>
          <w:p w:rsidR="00000000" w:rsidDel="00000000" w:rsidP="00000000" w:rsidRDefault="00000000" w:rsidRPr="00000000" w14:paraId="0000005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/>
            </w:pPr>
            <w:r w:rsidDel="00000000" w:rsidR="00000000" w:rsidRPr="00000000">
              <w:rPr>
                <w:rtl w:val="0"/>
              </w:rPr>
              <w:t xml:space="preserve">: Počet bajtů v atributech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F">
            <w:pPr>
              <w:spacing w:after="40" w:lineRule="auto"/>
              <w:ind w:left="0" w:hanging="2"/>
              <w:rPr/>
            </w:pPr>
            <w:r w:rsidDel="00000000" w:rsidR="00000000" w:rsidRPr="00000000">
              <w:rPr>
                <w:rtl w:val="0"/>
              </w:rPr>
              <w:t xml:space="preserve">ordered {</w:t>
            </w:r>
          </w:p>
        </w:tc>
        <w:tc>
          <w:tcPr/>
          <w:p w:rsidR="00000000" w:rsidDel="00000000" w:rsidP="00000000" w:rsidRDefault="00000000" w:rsidRPr="00000000" w14:paraId="0000006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1">
            <w:pPr>
              <w:spacing w:after="40" w:lineRule="auto"/>
              <w:ind w:left="0" w:hanging="2"/>
              <w:rPr/>
            </w:pPr>
            <w:bookmarkStart w:colFirst="0" w:colLast="0" w:name="_heading=h.1y810tw" w:id="32"/>
            <w:bookmarkEnd w:id="32"/>
            <w:r w:rsidDel="00000000" w:rsidR="00000000" w:rsidRPr="00000000">
              <w:rPr>
                <w:rtl w:val="0"/>
              </w:rPr>
              <w:t xml:space="preserve">   </w:t>
            </w:r>
            <w:r w:rsidDel="00000000" w:rsidR="00000000" w:rsidRPr="00000000">
              <w:rPr>
                <w:b w:val="1"/>
                <w:rtl w:val="0"/>
              </w:rPr>
              <w:t xml:space="preserve">&lt;MMCSwitch&gt;</w:t>
            </w:r>
            <w:r w:rsidDel="00000000" w:rsidR="00000000" w:rsidRPr="00000000">
              <w:rPr>
                <w:rtl w:val="0"/>
              </w:rPr>
              <w:t xml:space="preserve">(mmt),</w:t>
            </w:r>
          </w:p>
        </w:tc>
        <w:tc>
          <w:tcPr/>
          <w:p w:rsidR="00000000" w:rsidDel="00000000" w:rsidP="00000000" w:rsidRDefault="00000000" w:rsidRPr="00000000" w14:paraId="0000006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: kontejner pro management zpráv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3">
            <w:pPr>
              <w:spacing w:after="40" w:lineRule="auto"/>
              <w:ind w:left="0" w:hanging="2"/>
              <w:rPr/>
            </w:pPr>
            <w:r w:rsidDel="00000000" w:rsidR="00000000" w:rsidRPr="00000000">
              <w:rPr>
                <w:rtl w:val="0"/>
              </w:rPr>
              <w:t xml:space="preserve">   n *</w:t>
            </w:r>
            <w:r w:rsidDel="00000000" w:rsidR="00000000" w:rsidRPr="00000000">
              <w:rPr>
                <w:b w:val="1"/>
                <w:rtl w:val="0"/>
              </w:rPr>
              <w:t xml:space="preserve">&lt;SpeedInformation&gt;</w:t>
            </w:r>
            <w:r w:rsidDel="00000000" w:rsidR="00000000" w:rsidRPr="00000000">
              <w:rPr>
                <w:rtl w:val="0"/>
              </w:rPr>
              <w:t xml:space="preserve">(speedInfo)[0..1],</w:t>
            </w:r>
          </w:p>
        </w:tc>
        <w:tc>
          <w:tcPr/>
          <w:p w:rsidR="00000000" w:rsidDel="00000000" w:rsidP="00000000" w:rsidRDefault="00000000" w:rsidRPr="00000000" w14:paraId="0000006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: popis informace s omezením rychlosti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5">
            <w:pPr>
              <w:spacing w:after="40" w:lineRule="auto"/>
              <w:ind w:left="0" w:hanging="2"/>
              <w:rPr/>
            </w:pPr>
            <w:r w:rsidDel="00000000" w:rsidR="00000000" w:rsidRPr="00000000">
              <w:rPr>
                <w:rtl w:val="0"/>
              </w:rPr>
              <w:t xml:space="preserve">   n *</w:t>
            </w:r>
            <w:r w:rsidDel="00000000" w:rsidR="00000000" w:rsidRPr="00000000">
              <w:rPr>
                <w:b w:val="1"/>
                <w:rtl w:val="0"/>
              </w:rPr>
              <w:t xml:space="preserve">&lt;LocationReferencingLink&gt;</w:t>
            </w:r>
            <w:r w:rsidDel="00000000" w:rsidR="00000000" w:rsidRPr="00000000">
              <w:rPr>
                <w:rtl w:val="0"/>
              </w:rPr>
              <w:t xml:space="preserve">(location)[0..1]</w:t>
            </w:r>
          </w:p>
        </w:tc>
        <w:tc>
          <w:tcPr/>
          <w:p w:rsidR="00000000" w:rsidDel="00000000" w:rsidP="00000000" w:rsidRDefault="00000000" w:rsidRPr="00000000" w14:paraId="0000006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: </w:t>
            </w:r>
            <w:r w:rsidDel="00000000" w:rsidR="00000000" w:rsidRPr="00000000">
              <w:rPr>
                <w:rtl w:val="0"/>
              </w:rPr>
              <w:t xml:space="preserve">kontejner pro odkazování na polohu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7">
            <w:pPr>
              <w:spacing w:after="40" w:lineRule="auto"/>
              <w:ind w:left="0" w:hanging="2"/>
              <w:rPr/>
            </w:pPr>
            <w:r w:rsidDel="00000000" w:rsidR="00000000" w:rsidRPr="00000000">
              <w:rPr>
                <w:rtl w:val="0"/>
              </w:rPr>
              <w:t xml:space="preserve">};</w:t>
            </w:r>
          </w:p>
        </w:tc>
        <w:tc>
          <w:tcPr/>
          <w:p w:rsidR="00000000" w:rsidDel="00000000" w:rsidP="00000000" w:rsidRDefault="00000000" w:rsidRPr="00000000" w14:paraId="0000006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0"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9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Příloha B (normativní) TPEG-ML reprezentace </w:t>
      </w:r>
      <w:r w:rsidDel="00000000" w:rsidR="00000000" w:rsidRPr="00000000">
        <w:rPr>
          <w:b w:val="1"/>
          <w:sz w:val="22"/>
          <w:szCs w:val="22"/>
          <w:rtl w:val="0"/>
        </w:rPr>
        <w:t xml:space="preserve">SPI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příloha (rozsah </w:t>
      </w: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color w:val="000000"/>
          <w:rtl w:val="0"/>
        </w:rPr>
        <w:t xml:space="preserve"> strany) obsahuje nejprve </w:t>
      </w:r>
      <w:r w:rsidDel="00000000" w:rsidR="00000000" w:rsidRPr="00000000">
        <w:rPr>
          <w:color w:val="000000"/>
          <w:u w:val="single"/>
          <w:rtl w:val="0"/>
        </w:rPr>
        <w:t xml:space="preserve">samostatně uvedené</w:t>
      </w:r>
      <w:r w:rsidDel="00000000" w:rsidR="00000000" w:rsidRPr="00000000">
        <w:rPr>
          <w:color w:val="000000"/>
          <w:rtl w:val="0"/>
        </w:rPr>
        <w:t xml:space="preserve"> XML schéma rámce TPEG, dále zprávy </w:t>
      </w:r>
      <w:r w:rsidDel="00000000" w:rsidR="00000000" w:rsidRPr="00000000">
        <w:rPr>
          <w:rtl w:val="0"/>
        </w:rPr>
        <w:t xml:space="preserve">SPI</w:t>
      </w:r>
      <w:r w:rsidDel="00000000" w:rsidR="00000000" w:rsidRPr="00000000">
        <w:rPr>
          <w:color w:val="000000"/>
          <w:rtl w:val="0"/>
        </w:rPr>
        <w:t xml:space="preserve"> a jejích součástí, prvků určených pro budoucí rozšíření, datových typů a tabulek </w:t>
      </w:r>
      <w:r w:rsidDel="00000000" w:rsidR="00000000" w:rsidRPr="00000000">
        <w:rPr>
          <w:rtl w:val="0"/>
        </w:rPr>
        <w:t xml:space="preserve">SPI</w:t>
      </w:r>
      <w:r w:rsidDel="00000000" w:rsidR="00000000" w:rsidRPr="00000000">
        <w:rPr>
          <w:color w:val="000000"/>
          <w:rtl w:val="0"/>
        </w:rPr>
        <w:t xml:space="preserve"> (definovaných jako xs:complexType), viz příklad na obrázku níže. Následně uvádí vše výše zmíněné v jednom funkčním XML schématu. </w:t>
      </w:r>
    </w:p>
    <w:tbl>
      <w:tblPr>
        <w:tblStyle w:val="Table5"/>
        <w:tblW w:w="921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212"/>
        <w:tblGridChange w:id="0">
          <w:tblGrid>
            <w:gridCol w:w="9212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1"/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  <w:between w:space="0" w:sz="0" w:val="nil"/>
              </w:pBdr>
              <w:shd w:fill="auto" w:val="clear"/>
              <w:tabs>
                <w:tab w:val="left" w:leader="none" w:pos="1354"/>
              </w:tabs>
              <w:spacing w:after="40" w:before="0" w:line="276" w:lineRule="auto"/>
              <w:ind w:left="0" w:right="0" w:hanging="2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&lt;xs:complexType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ff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name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=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"LaneNumber"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&gt; </w:t>
            </w:r>
          </w:p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1"/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  <w:between w:space="0" w:sz="0" w:val="nil"/>
              </w:pBdr>
              <w:shd w:fill="auto" w:val="clear"/>
              <w:tabs>
                <w:tab w:val="left" w:leader="none" w:pos="1354"/>
              </w:tabs>
              <w:spacing w:after="40" w:before="0" w:line="276" w:lineRule="auto"/>
              <w:ind w:left="0" w:right="0" w:hanging="2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&lt;xs:sequence&gt; </w:t>
            </w:r>
          </w:p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1"/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  <w:between w:space="0" w:sz="0" w:val="nil"/>
              </w:pBdr>
              <w:shd w:fill="auto" w:val="clear"/>
              <w:tabs>
                <w:tab w:val="left" w:leader="none" w:pos="1354"/>
              </w:tabs>
              <w:spacing w:after="40" w:before="0" w:line="276" w:lineRule="auto"/>
              <w:ind w:left="0" w:right="0" w:hanging="2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&lt;xs:element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ff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name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=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"hardShoulder"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ff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type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=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"tdt:Boolean"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/&gt; </w:t>
            </w:r>
          </w:p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1"/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  <w:between w:space="0" w:sz="0" w:val="nil"/>
              </w:pBdr>
              <w:shd w:fill="auto" w:val="clear"/>
              <w:tabs>
                <w:tab w:val="left" w:leader="none" w:pos="1354"/>
              </w:tabs>
              <w:spacing w:after="40" w:before="0" w:line="276" w:lineRule="auto"/>
              <w:ind w:left="0" w:right="0" w:hanging="2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&lt;xs:element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ff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name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=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"lane1"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ff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type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=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"tdt:Boolean"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/&gt; </w:t>
            </w:r>
          </w:p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1"/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  <w:between w:space="0" w:sz="0" w:val="nil"/>
              </w:pBdr>
              <w:shd w:fill="auto" w:val="clear"/>
              <w:tabs>
                <w:tab w:val="left" w:leader="none" w:pos="1354"/>
              </w:tabs>
              <w:spacing w:after="40" w:before="0" w:line="276" w:lineRule="auto"/>
              <w:ind w:left="0" w:right="0" w:hanging="2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&lt;xs:element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ff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name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=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"lane2"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ff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type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=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"tdt:Boolean"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/&gt; </w:t>
            </w:r>
          </w:p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1"/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  <w:between w:space="0" w:sz="0" w:val="nil"/>
              </w:pBdr>
              <w:shd w:fill="auto" w:val="clear"/>
              <w:tabs>
                <w:tab w:val="left" w:leader="none" w:pos="1354"/>
              </w:tabs>
              <w:spacing w:after="40" w:before="0" w:line="276" w:lineRule="auto"/>
              <w:ind w:left="0" w:right="0" w:hanging="2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&lt;xs:element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ff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name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=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"lane3"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ff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type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=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"tdt:Boolean"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/&gt; </w:t>
            </w:r>
          </w:p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1"/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  <w:between w:space="0" w:sz="0" w:val="nil"/>
              </w:pBdr>
              <w:shd w:fill="auto" w:val="clear"/>
              <w:tabs>
                <w:tab w:val="left" w:leader="none" w:pos="1354"/>
              </w:tabs>
              <w:spacing w:after="40" w:before="0" w:line="276" w:lineRule="auto"/>
              <w:ind w:left="0" w:right="0" w:hanging="2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&lt;!-- zkráceno --&gt;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1"/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  <w:between w:space="0" w:sz="0" w:val="nil"/>
              </w:pBdr>
              <w:shd w:fill="auto" w:val="clear"/>
              <w:tabs>
                <w:tab w:val="left" w:leader="none" w:pos="1354"/>
              </w:tabs>
              <w:spacing w:after="40" w:before="0" w:line="276" w:lineRule="auto"/>
              <w:ind w:left="0" w:right="0" w:hanging="2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&lt;xs:element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ff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name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=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"lane19andMore"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ff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type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=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"tdt:Boolean"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/&gt; </w:t>
            </w:r>
          </w:p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1"/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  <w:between w:space="0" w:sz="0" w:val="nil"/>
              </w:pBdr>
              <w:shd w:fill="auto" w:val="clear"/>
              <w:tabs>
                <w:tab w:val="left" w:leader="none" w:pos="1354"/>
              </w:tabs>
              <w:spacing w:after="40" w:before="0" w:line="276" w:lineRule="auto"/>
              <w:ind w:left="0" w:right="0" w:hanging="2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&lt;xs:element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ff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name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=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"innerSideHardShoulder"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ff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type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=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"tdt:Boolean"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/&gt; </w:t>
            </w:r>
          </w:p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1"/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  <w:between w:space="0" w:sz="0" w:val="nil"/>
              </w:pBdr>
              <w:shd w:fill="auto" w:val="clear"/>
              <w:tabs>
                <w:tab w:val="left" w:leader="none" w:pos="1354"/>
              </w:tabs>
              <w:spacing w:after="40" w:before="0" w:line="276" w:lineRule="auto"/>
              <w:ind w:left="0" w:right="0" w:hanging="2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 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&lt;/xs:sequence&gt; </w:t>
            </w:r>
          </w:p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1"/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  <w:between w:space="0" w:sz="0" w:val="nil"/>
              </w:pBdr>
              <w:shd w:fill="auto" w:val="clear"/>
              <w:tabs>
                <w:tab w:val="left" w:leader="none" w:pos="1354"/>
              </w:tabs>
              <w:spacing w:after="40" w:before="0" w:line="276" w:lineRule="auto"/>
              <w:ind w:left="0" w:right="0" w:hanging="2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&lt;/xs:complexType&gt; 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Rule="auto"/>
        <w:ind w:left="0" w:hanging="2"/>
        <w:jc w:val="center"/>
        <w:rPr>
          <w:sz w:val="18"/>
          <w:szCs w:val="18"/>
        </w:rPr>
      </w:pPr>
      <w:r w:rsidDel="00000000" w:rsidR="00000000" w:rsidRPr="00000000">
        <w:rPr>
          <w:color w:val="000000"/>
          <w:sz w:val="18"/>
          <w:szCs w:val="18"/>
          <w:rtl w:val="0"/>
        </w:rPr>
        <w:t xml:space="preserve">Obrázek 3 - Výstřižek schématu XSD stanovujícího strukturu </w:t>
      </w:r>
      <w:r w:rsidDel="00000000" w:rsidR="00000000" w:rsidRPr="00000000">
        <w:rPr>
          <w:sz w:val="18"/>
          <w:szCs w:val="18"/>
          <w:rtl w:val="0"/>
        </w:rPr>
        <w:t xml:space="preserve">prvku</w:t>
      </w:r>
      <w:r w:rsidDel="00000000" w:rsidR="00000000" w:rsidRPr="00000000">
        <w:rPr>
          <w:color w:val="000000"/>
          <w:sz w:val="18"/>
          <w:szCs w:val="18"/>
          <w:rtl w:val="0"/>
        </w:rPr>
        <w:t xml:space="preserve"> </w:t>
      </w:r>
      <w:r w:rsidDel="00000000" w:rsidR="00000000" w:rsidRPr="00000000">
        <w:rPr>
          <w:sz w:val="18"/>
          <w:szCs w:val="18"/>
          <w:rtl w:val="0"/>
        </w:rPr>
        <w:t xml:space="preserve">LaneNumber (článek B.3.1 normy)</w:t>
      </w:r>
    </w:p>
    <w:p w:rsidR="00000000" w:rsidDel="00000000" w:rsidP="00000000" w:rsidRDefault="00000000" w:rsidRPr="00000000" w14:paraId="00000077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Příloha C (informativní) Příklady dopravních značek omezujících rychlost</w:t>
      </w:r>
    </w:p>
    <w:p w:rsidR="00000000" w:rsidDel="00000000" w:rsidP="00000000" w:rsidRDefault="00000000" w:rsidRPr="00000000" w14:paraId="0000007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příloha (rozsah </w:t>
      </w:r>
      <w:r w:rsidDel="00000000" w:rsidR="00000000" w:rsidRPr="00000000">
        <w:rPr>
          <w:rtl w:val="0"/>
        </w:rPr>
        <w:t xml:space="preserve">9</w:t>
      </w:r>
      <w:r w:rsidDel="00000000" w:rsidR="00000000" w:rsidRPr="00000000">
        <w:rPr>
          <w:color w:val="000000"/>
          <w:rtl w:val="0"/>
        </w:rPr>
        <w:t xml:space="preserve"> stran) obsahuje 10 obrázků značek omezujících rychlost (i nepřímo, podle rychlosti vozidla vpředu) a jejich krátký popis.</w:t>
      </w:r>
    </w:p>
    <w:p w:rsidR="00000000" w:rsidDel="00000000" w:rsidP="00000000" w:rsidRDefault="00000000" w:rsidRPr="00000000" w14:paraId="0000007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</w:rPr>
        <w:drawing>
          <wp:inline distB="0" distT="0" distL="0" distR="0">
            <wp:extent cx="5760720" cy="1141730"/>
            <wp:effectExtent b="0" l="0" r="0" t="0"/>
            <wp:docPr id="104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4173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Rule="auto"/>
        <w:ind w:left="0" w:hanging="2"/>
        <w:jc w:val="center"/>
        <w:rPr>
          <w:color w:val="000000"/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Obrázek 4 - Ukázka části tabulky s příklady dopravních značek (tabulka C.19 normy)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Příloha D (informativní) Modelové příklady</w:t>
      </w:r>
    </w:p>
    <w:p w:rsidR="00000000" w:rsidDel="00000000" w:rsidP="00000000" w:rsidRDefault="00000000" w:rsidRPr="00000000" w14:paraId="0000007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příloha (rozsah </w:t>
      </w:r>
      <w:r w:rsidDel="00000000" w:rsidR="00000000" w:rsidRPr="00000000">
        <w:rPr>
          <w:rtl w:val="0"/>
        </w:rPr>
        <w:t xml:space="preserve">1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tl w:val="0"/>
        </w:rPr>
        <w:t xml:space="preserve">stránka</w:t>
      </w:r>
      <w:r w:rsidDel="00000000" w:rsidR="00000000" w:rsidRPr="00000000">
        <w:rPr>
          <w:color w:val="000000"/>
          <w:rtl w:val="0"/>
        </w:rPr>
        <w:t xml:space="preserve">) obsahuje 10 modelových příkladů zakódování rychlostního omezení pro různé situace. Každý příklad je popsán schématem rozložení dopravních </w:t>
      </w:r>
      <w:r w:rsidDel="00000000" w:rsidR="00000000" w:rsidRPr="00000000">
        <w:rPr>
          <w:color w:val="000000"/>
          <w:rtl w:val="0"/>
        </w:rPr>
        <w:t xml:space="preserve">značek</w:t>
      </w:r>
      <w:r w:rsidDel="00000000" w:rsidR="00000000" w:rsidRPr="00000000">
        <w:rPr>
          <w:color w:val="000000"/>
          <w:rtl w:val="0"/>
        </w:rPr>
        <w:t xml:space="preserve"> omezujících rychlost na pozemní komunikaci, promítnutím tohoto rozmístění do segmentů a tabulkou s hodnotami struktur SPI pro tento příklad.</w:t>
      </w:r>
    </w:p>
    <w:p w:rsidR="00000000" w:rsidDel="00000000" w:rsidP="00000000" w:rsidRDefault="00000000" w:rsidRPr="00000000" w14:paraId="0000007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Příklad D9: omezení rychlosti s kontrolou vzdálenosti vozidel</w:t>
      </w:r>
    </w:p>
    <w:p w:rsidR="00000000" w:rsidDel="00000000" w:rsidP="00000000" w:rsidRDefault="00000000" w:rsidRPr="00000000" w14:paraId="0000007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/>
        <w:drawing>
          <wp:inline distB="0" distT="0" distL="0" distR="0">
            <wp:extent cx="5760720" cy="2499626"/>
            <wp:effectExtent b="0" l="0" r="0" t="0"/>
            <wp:docPr id="1047" name="image5.jpg"/>
            <a:graphic>
              <a:graphicData uri="http://schemas.openxmlformats.org/drawingml/2006/picture">
                <pic:pic>
                  <pic:nvPicPr>
                    <pic:cNvPr id="0" name="image5.jpg"/>
                    <pic:cNvPicPr preferRelativeResize="0"/>
                  </pic:nvPicPr>
                  <pic:blipFill>
                    <a:blip r:embed="rId12"/>
                    <a:srcRect b="1928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9962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Rule="auto"/>
        <w:ind w:left="0" w:hanging="2"/>
        <w:jc w:val="center"/>
        <w:rPr>
          <w:color w:val="000000"/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Obrázek 5 – Modelový příklad 9, </w:t>
      </w:r>
      <w:r w:rsidDel="00000000" w:rsidR="00000000" w:rsidRPr="00000000">
        <w:rPr>
          <w:color w:val="000000"/>
          <w:rtl w:val="0"/>
        </w:rPr>
        <w:t xml:space="preserve">omezení rychlosti s kontrolou vzdálenosti vozidel</w:t>
      </w:r>
      <w:r w:rsidDel="00000000" w:rsidR="00000000" w:rsidRPr="00000000">
        <w:rPr>
          <w:sz w:val="18"/>
          <w:szCs w:val="18"/>
          <w:rtl w:val="0"/>
        </w:rPr>
        <w:t xml:space="preserve"> (obrázek D.9 normy)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jc w:val="center"/>
        <w:rPr/>
      </w:pPr>
      <w:r w:rsidDel="00000000" w:rsidR="00000000" w:rsidRPr="00000000">
        <w:rPr>
          <w:rtl w:val="0"/>
        </w:rPr>
        <w:t xml:space="preserve">Tabulka 4 – vyplnění struktury SPI pro příklad 9 (tabulka D.9 normy)</w:t>
      </w:r>
    </w:p>
    <w:tbl>
      <w:tblPr>
        <w:tblStyle w:val="Table6"/>
        <w:tblW w:w="9067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18"/>
        <w:gridCol w:w="1730"/>
        <w:gridCol w:w="2410"/>
        <w:gridCol w:w="2409"/>
        <w:tblGridChange w:id="0">
          <w:tblGrid>
            <w:gridCol w:w="2518"/>
            <w:gridCol w:w="1730"/>
            <w:gridCol w:w="2410"/>
            <w:gridCol w:w="240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SpeedLimitSegment</w:t>
            </w:r>
          </w:p>
        </w:tc>
        <w:tc>
          <w:tcPr/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speedLimitValue</w:t>
            </w:r>
          </w:p>
        </w:tc>
        <w:tc>
          <w:tcPr/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80</w:t>
            </w:r>
          </w:p>
        </w:tc>
        <w:tc>
          <w:tcPr/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20</w:t>
            </w:r>
          </w:p>
        </w:tc>
        <w:tc>
          <w:tcPr/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spiType</w:t>
            </w:r>
          </w:p>
        </w:tc>
        <w:tc>
          <w:tcPr/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static speed limit sign (1)</w:t>
            </w:r>
          </w:p>
        </w:tc>
        <w:tc>
          <w:tcPr/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minimum allowed distance to predecessor vehicle (12)</w:t>
            </w:r>
          </w:p>
        </w:tc>
        <w:tc>
          <w:tcPr/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minimum allowed distance to predecessor vehicle (12)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informationUnit</w:t>
            </w:r>
          </w:p>
        </w:tc>
        <w:tc>
          <w:tcPr/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kiloMetresPerHour (1)</w:t>
            </w:r>
          </w:p>
        </w:tc>
        <w:tc>
          <w:tcPr/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metres (4)</w:t>
            </w:r>
          </w:p>
        </w:tc>
        <w:tc>
          <w:tcPr/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metres (4)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speedLimitStartPosition</w:t>
            </w:r>
          </w:p>
        </w:tc>
        <w:tc>
          <w:tcPr/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undef</w:t>
            </w:r>
          </w:p>
        </w:tc>
        <w:tc>
          <w:tcPr/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undef</w:t>
            </w:r>
          </w:p>
        </w:tc>
        <w:tc>
          <w:tcPr/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200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speedLimitLength</w:t>
            </w:r>
          </w:p>
        </w:tc>
        <w:tc>
          <w:tcPr/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1500</w:t>
            </w:r>
          </w:p>
        </w:tc>
        <w:tc>
          <w:tcPr/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200</w:t>
            </w:r>
          </w:p>
        </w:tc>
        <w:tc>
          <w:tcPr/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1300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vehicleTypeRestriction</w:t>
            </w:r>
          </w:p>
        </w:tc>
        <w:tc>
          <w:tcPr/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undef</w:t>
            </w:r>
          </w:p>
        </w:tc>
        <w:tc>
          <w:tcPr/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undef</w:t>
            </w:r>
          </w:p>
        </w:tc>
        <w:tc>
          <w:tcPr/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undef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affectedLanes</w:t>
            </w:r>
          </w:p>
        </w:tc>
        <w:tc>
          <w:tcPr/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undef</w:t>
            </w:r>
          </w:p>
        </w:tc>
        <w:tc>
          <w:tcPr/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1+2</w:t>
            </w:r>
          </w:p>
        </w:tc>
        <w:tc>
          <w:tcPr/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p>
        </w:tc>
      </w:tr>
    </w:tbl>
    <w:p w:rsidR="00000000" w:rsidDel="00000000" w:rsidP="00000000" w:rsidRDefault="00000000" w:rsidRPr="00000000" w14:paraId="000000A1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color w:val="000000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Literatura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část (rozsah 1 strana) obsahuje odkazy na literaturu i normy použité v popisovaném dokumentu.</w:t>
      </w:r>
    </w:p>
    <w:p w:rsidR="00000000" w:rsidDel="00000000" w:rsidP="00000000" w:rsidRDefault="00000000" w:rsidRPr="00000000" w14:paraId="000000A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Rule="auto"/>
        <w:ind w:left="0" w:hanging="2"/>
        <w:jc w:val="center"/>
        <w:rPr>
          <w:color w:val="000000"/>
        </w:rPr>
      </w:pPr>
      <w:r w:rsidDel="00000000" w:rsidR="00000000" w:rsidRPr="00000000">
        <w:rPr>
          <w:rtl w:val="0"/>
        </w:rPr>
      </w:r>
    </w:p>
    <w:sectPr>
      <w:footerReference r:id="rId13" w:type="default"/>
      <w:pgSz w:h="16838" w:w="11906" w:orient="portrait"/>
      <w:pgMar w:bottom="1497" w:top="1417" w:left="1417" w:right="1417" w:header="708" w:footer="144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  <w:font w:name="Times New Roman"/>
  <w:font w:name="Cambr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A4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ind w:left="0" w:hanging="2"/>
      <w:rPr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899795</wp:posOffset>
          </wp:positionH>
          <wp:positionV relativeFrom="paragraph">
            <wp:posOffset>0</wp:posOffset>
          </wp:positionV>
          <wp:extent cx="75565" cy="145415"/>
          <wp:effectExtent b="0" l="0" r="0" t="0"/>
          <wp:wrapSquare wrapText="bothSides" distB="0" distT="0" distL="114300" distR="114300"/>
          <wp:docPr id="1044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5565" cy="145415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18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38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58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78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598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18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38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58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78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cs-CZ"/>
      </w:rPr>
    </w:rPrDefault>
    <w:pPrDefault>
      <w:pPr>
        <w:spacing w:after="120" w:line="276" w:lineRule="auto"/>
        <w:ind w:hanging="1"/>
        <w:jc w:val="both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60" w:before="200" w:lineRule="auto"/>
    </w:pPr>
    <w:rPr>
      <w:b w:val="1"/>
      <w:color w:val="000000"/>
      <w:sz w:val="22"/>
      <w:szCs w:val="22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color w:val="000000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color w:val="000000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color w:val="000000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color w:val="000000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color w:val="000000"/>
    </w:rPr>
  </w:style>
  <w:style w:type="paragraph" w:styleId="Title">
    <w:name w:val="Title"/>
    <w:basedOn w:val="Normal"/>
    <w:next w:val="Normal"/>
    <w:pPr>
      <w:keepNext w:val="1"/>
      <w:keepLines w:val="1"/>
      <w:widowControl w:val="0"/>
      <w:tabs>
        <w:tab w:val="left" w:leader="none" w:pos="7080"/>
        <w:tab w:val="right" w:leader="none" w:pos="9923"/>
      </w:tabs>
      <w:spacing w:after="60" w:lineRule="auto"/>
      <w:jc w:val="center"/>
    </w:pPr>
    <w:rPr>
      <w:b w:val="1"/>
      <w:color w:val="000000"/>
      <w:sz w:val="40"/>
      <w:szCs w:val="40"/>
    </w:rPr>
  </w:style>
  <w:style w:type="paragraph" w:styleId="Normln" w:default="1">
    <w:name w:val="Normal"/>
    <w:qFormat w:val="1"/>
    <w:pPr>
      <w:ind w:left="-1" w:leftChars="-1" w:hangingChars="1"/>
      <w:textDirection w:val="btLr"/>
      <w:textAlignment w:val="top"/>
      <w:outlineLvl w:val="0"/>
    </w:pPr>
    <w:rPr>
      <w:position w:val="-1"/>
      <w:lang w:bidi="hi-IN" w:eastAsia="hi-IN"/>
    </w:rPr>
  </w:style>
  <w:style w:type="paragraph" w:styleId="Nadpis1">
    <w:name w:val="heading 1"/>
    <w:basedOn w:val="Normln"/>
    <w:next w:val="Zkladntext"/>
    <w:uiPriority w:val="9"/>
    <w:qFormat w:val="1"/>
    <w:pPr>
      <w:keepNext w:val="1"/>
      <w:keepLines w:val="1"/>
      <w:spacing w:after="60" w:before="200"/>
    </w:pPr>
    <w:rPr>
      <w:b w:val="1"/>
      <w:color w:val="000000"/>
      <w:sz w:val="22"/>
      <w:szCs w:val="22"/>
    </w:rPr>
  </w:style>
  <w:style w:type="paragraph" w:styleId="Nadpis2">
    <w:name w:val="heading 2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80" w:before="360"/>
      <w:outlineLvl w:val="1"/>
    </w:pPr>
    <w:rPr>
      <w:b w:val="1"/>
      <w:color w:val="000000"/>
      <w:sz w:val="36"/>
      <w:szCs w:val="36"/>
    </w:rPr>
  </w:style>
  <w:style w:type="paragraph" w:styleId="Nadpis3">
    <w:name w:val="heading 3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80" w:before="280"/>
      <w:outlineLvl w:val="2"/>
    </w:pPr>
    <w:rPr>
      <w:b w:val="1"/>
      <w:color w:val="000000"/>
      <w:sz w:val="28"/>
      <w:szCs w:val="28"/>
    </w:rPr>
  </w:style>
  <w:style w:type="paragraph" w:styleId="Nadpis4">
    <w:name w:val="heading 4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color w:val="000000"/>
      <w:sz w:val="24"/>
      <w:szCs w:val="24"/>
    </w:rPr>
  </w:style>
  <w:style w:type="paragraph" w:styleId="Nadpis5">
    <w:name w:val="heading 5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color w:val="000000"/>
      <w:sz w:val="22"/>
      <w:szCs w:val="22"/>
    </w:rPr>
  </w:style>
  <w:style w:type="paragraph" w:styleId="Nadpis6">
    <w:name w:val="heading 6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color w:val="000000"/>
    </w:rPr>
  </w:style>
  <w:style w:type="character" w:styleId="Standardnpsmoodstavce" w:default="1">
    <w:name w:val="Default Paragraph Font"/>
    <w:uiPriority w:val="1"/>
    <w:semiHidden w:val="1"/>
    <w:unhideWhenUsed w:val="1"/>
  </w:style>
  <w:style w:type="table" w:styleId="Normlntabulka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Bezseznamu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Nzev">
    <w:name w:val="Title"/>
    <w:basedOn w:val="Normln"/>
    <w:next w:val="Podnadpis1"/>
    <w:uiPriority w:val="10"/>
    <w:qFormat w:val="1"/>
    <w:pPr>
      <w:keepNext w:val="1"/>
      <w:keepLines w:val="1"/>
      <w:widowControl w:val="0"/>
      <w:tabs>
        <w:tab w:val="left" w:pos="7080"/>
        <w:tab w:val="right" w:pos="9923"/>
      </w:tabs>
      <w:spacing w:after="60" w:line="100" w:lineRule="atLeast"/>
      <w:jc w:val="center"/>
    </w:pPr>
    <w:rPr>
      <w:b w:val="1"/>
      <w:bCs w:val="1"/>
      <w:color w:val="000000"/>
      <w:sz w:val="40"/>
      <w:szCs w:val="40"/>
    </w:r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1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character" w:styleId="ListLabel1" w:customStyle="1">
    <w:name w:val="ListLabel 1"/>
    <w:rPr>
      <w:w w:val="100"/>
      <w:position w:val="-1"/>
      <w:u w:val="none"/>
      <w:effect w:val="none"/>
      <w:vertAlign w:val="baseline"/>
      <w:cs w:val="0"/>
      <w:em w:val="none"/>
    </w:rPr>
  </w:style>
  <w:style w:type="character" w:styleId="Odrky" w:customStyle="1">
    <w:name w:val="Odrážky"/>
    <w:rPr>
      <w:rFonts w:ascii="OpenSymbol" w:cs="OpenSymbol" w:eastAsia="OpenSymbol" w:hAnsi="OpenSymbol"/>
      <w:w w:val="100"/>
      <w:position w:val="-1"/>
      <w:effect w:val="none"/>
      <w:vertAlign w:val="baseline"/>
      <w:cs w:val="0"/>
      <w:em w:val="none"/>
    </w:rPr>
  </w:style>
  <w:style w:type="paragraph" w:styleId="Nadpis" w:customStyle="1">
    <w:name w:val="Nadpis"/>
    <w:basedOn w:val="Normln"/>
    <w:next w:val="Zkladntext"/>
    <w:pPr>
      <w:keepNext w:val="1"/>
      <w:spacing w:before="240"/>
    </w:pPr>
    <w:rPr>
      <w:rFonts w:cs="Lucida Sans" w:eastAsia="Microsoft YaHei"/>
      <w:color w:val="000000"/>
      <w:sz w:val="28"/>
      <w:szCs w:val="28"/>
    </w:rPr>
  </w:style>
  <w:style w:type="paragraph" w:styleId="Zkladntext">
    <w:name w:val="Body Text"/>
    <w:basedOn w:val="Normln"/>
    <w:rPr>
      <w:color w:val="000000"/>
    </w:rPr>
  </w:style>
  <w:style w:type="paragraph" w:styleId="Seznam">
    <w:name w:val="List"/>
    <w:basedOn w:val="Zkladntext"/>
    <w:rPr>
      <w:rFonts w:cs="Lucida Sans"/>
    </w:rPr>
  </w:style>
  <w:style w:type="paragraph" w:styleId="Popisek" w:customStyle="1">
    <w:name w:val="Popisek"/>
    <w:basedOn w:val="Normln"/>
    <w:pPr>
      <w:suppressLineNumbers w:val="1"/>
      <w:spacing w:before="120"/>
    </w:pPr>
    <w:rPr>
      <w:rFonts w:cs="Lucida Sans"/>
      <w:i w:val="1"/>
      <w:iCs w:val="1"/>
      <w:color w:val="000000"/>
      <w:sz w:val="24"/>
      <w:szCs w:val="24"/>
    </w:rPr>
  </w:style>
  <w:style w:type="paragraph" w:styleId="Rejstk" w:customStyle="1">
    <w:name w:val="Rejstřík"/>
    <w:basedOn w:val="Normln"/>
    <w:pPr>
      <w:suppressLineNumbers w:val="1"/>
    </w:pPr>
    <w:rPr>
      <w:rFonts w:cs="Lucida Sans"/>
      <w:color w:val="000000"/>
    </w:rPr>
  </w:style>
  <w:style w:type="paragraph" w:styleId="Podnadpis1" w:customStyle="1">
    <w:name w:val="Podnadpis1"/>
    <w:basedOn w:val="Normln"/>
    <w:next w:val="Zkladntext"/>
    <w:pPr>
      <w:keepNext w:val="1"/>
      <w:keepLines w:val="1"/>
      <w:spacing w:after="0" w:before="180" w:line="100" w:lineRule="atLeast"/>
      <w:jc w:val="left"/>
    </w:pPr>
    <w:rPr>
      <w:b w:val="1"/>
      <w:i w:val="1"/>
      <w:iCs w:val="1"/>
      <w:color w:val="000000"/>
      <w:sz w:val="32"/>
      <w:szCs w:val="32"/>
    </w:rPr>
  </w:style>
  <w:style w:type="paragraph" w:styleId="Zpat">
    <w:name w:val="footer"/>
    <w:basedOn w:val="Normln"/>
    <w:pPr>
      <w:suppressLineNumbers w:val="1"/>
      <w:tabs>
        <w:tab w:val="center" w:pos="4819"/>
        <w:tab w:val="right" w:pos="9638"/>
      </w:tabs>
    </w:pPr>
    <w:rPr>
      <w:color w:val="000000"/>
    </w:rPr>
  </w:style>
  <w:style w:type="paragraph" w:styleId="Odstavecseseznamem">
    <w:name w:val="List Paragraph"/>
    <w:basedOn w:val="Normln"/>
    <w:pPr>
      <w:ind w:left="720" w:firstLine="0"/>
    </w:pPr>
    <w:rPr>
      <w:color w:val="000000"/>
    </w:rPr>
  </w:style>
  <w:style w:type="paragraph" w:styleId="Titulek">
    <w:name w:val="caption"/>
    <w:basedOn w:val="Normln"/>
    <w:next w:val="Normln"/>
    <w:pPr>
      <w:spacing w:after="200" w:line="100" w:lineRule="atLeast"/>
      <w:jc w:val="center"/>
    </w:pPr>
    <w:rPr>
      <w:bCs w:val="1"/>
      <w:color w:val="000000"/>
      <w:sz w:val="18"/>
      <w:szCs w:val="18"/>
    </w:rPr>
  </w:style>
  <w:style w:type="paragraph" w:styleId="Obsahtabulky" w:customStyle="1">
    <w:name w:val="Obsah tabulky"/>
    <w:basedOn w:val="Normln"/>
    <w:pPr>
      <w:suppressLineNumbers w:val="1"/>
    </w:pPr>
    <w:rPr>
      <w:color w:val="000000"/>
    </w:rPr>
  </w:style>
  <w:style w:type="paragraph" w:styleId="Normlnweb">
    <w:name w:val="Normal (Web)"/>
    <w:basedOn w:val="Normln"/>
    <w:qFormat w:val="1"/>
    <w:pPr>
      <w:suppressAutoHyphens w:val="1"/>
      <w:spacing w:after="100" w:afterAutospacing="1" w:before="100" w:beforeAutospacing="1" w:line="240" w:lineRule="auto"/>
      <w:jc w:val="left"/>
    </w:pPr>
    <w:rPr>
      <w:rFonts w:ascii="Times New Roman" w:cs="Times New Roman" w:eastAsia="Times New Roman" w:hAnsi="Times New Roman"/>
      <w:sz w:val="24"/>
      <w:szCs w:val="24"/>
      <w:lang w:bidi="ar-SA" w:eastAsia="cs-CZ"/>
    </w:rPr>
  </w:style>
  <w:style w:type="table" w:styleId="Mkatabulky">
    <w:name w:val="Table Grid"/>
    <w:basedOn w:val="Normlntabulka"/>
    <w:uiPriority w:val="99"/>
    <w:pPr>
      <w:suppressAutoHyphens w:val="1"/>
      <w:spacing w:line="1" w:lineRule="atLeast"/>
      <w:ind w:left="-1" w:leftChars="-1" w:hangingChars="1"/>
      <w:textDirection w:val="btLr"/>
      <w:textAlignment w:val="top"/>
      <w:outlineLvl w:val="0"/>
    </w:pPr>
    <w:rPr>
      <w:position w:val="-1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odnadpis">
    <w:name w:val="Subtitle"/>
    <w:basedOn w:val="Normln"/>
    <w:next w:val="Normln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a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0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1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2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3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4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5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6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7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8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9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a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Textkomente">
    <w:name w:val="annotation text"/>
    <w:basedOn w:val="Normln"/>
    <w:link w:val="TextkomenteChar"/>
    <w:uiPriority w:val="99"/>
    <w:semiHidden w:val="1"/>
    <w:unhideWhenUsed w:val="1"/>
    <w:pPr>
      <w:spacing w:line="240" w:lineRule="auto"/>
    </w:pPr>
    <w:rPr>
      <w:rFonts w:cs="Mangal"/>
      <w:szCs w:val="18"/>
    </w:rPr>
  </w:style>
  <w:style w:type="character" w:styleId="TextkomenteChar" w:customStyle="1">
    <w:name w:val="Text komentáře Char"/>
    <w:basedOn w:val="Standardnpsmoodstavce"/>
    <w:link w:val="Textkomente"/>
    <w:uiPriority w:val="99"/>
    <w:semiHidden w:val="1"/>
    <w:rPr>
      <w:rFonts w:cs="Mangal"/>
      <w:position w:val="-1"/>
      <w:szCs w:val="18"/>
      <w:lang w:bidi="hi-IN" w:eastAsia="hi-IN"/>
    </w:rPr>
  </w:style>
  <w:style w:type="character" w:styleId="Odkaznakoment">
    <w:name w:val="annotation reference"/>
    <w:basedOn w:val="Standardnpsmoodstavce"/>
    <w:uiPriority w:val="99"/>
    <w:semiHidden w:val="1"/>
    <w:unhideWhenUsed w:val="1"/>
    <w:rPr>
      <w:sz w:val="16"/>
      <w:szCs w:val="16"/>
    </w:rPr>
  </w:style>
  <w:style w:type="paragraph" w:styleId="Textbubliny">
    <w:name w:val="Balloon Text"/>
    <w:basedOn w:val="Normln"/>
    <w:link w:val="TextbublinyChar"/>
    <w:uiPriority w:val="99"/>
    <w:semiHidden w:val="1"/>
    <w:unhideWhenUsed w:val="1"/>
    <w:rsid w:val="002524C9"/>
    <w:pPr>
      <w:spacing w:after="0" w:line="240" w:lineRule="auto"/>
    </w:pPr>
    <w:rPr>
      <w:rFonts w:ascii="Tahoma" w:cs="Mangal" w:hAnsi="Tahoma"/>
      <w:sz w:val="16"/>
      <w:szCs w:val="14"/>
    </w:rPr>
  </w:style>
  <w:style w:type="character" w:styleId="TextbublinyChar" w:customStyle="1">
    <w:name w:val="Text bubliny Char"/>
    <w:basedOn w:val="Standardnpsmoodstavce"/>
    <w:link w:val="Textbubliny"/>
    <w:uiPriority w:val="99"/>
    <w:semiHidden w:val="1"/>
    <w:rsid w:val="002524C9"/>
    <w:rPr>
      <w:rFonts w:ascii="Tahoma" w:cs="Mangal" w:hAnsi="Tahoma"/>
      <w:position w:val="-1"/>
      <w:sz w:val="16"/>
      <w:szCs w:val="14"/>
      <w:lang w:bidi="hi-IN" w:eastAsia="hi-IN"/>
    </w:rPr>
  </w:style>
  <w:style w:type="paragraph" w:styleId="1StrNN-X" w:customStyle="1">
    <w:name w:val="1StrNN-X"/>
    <w:basedOn w:val="Normln"/>
    <w:rsid w:val="002524C9"/>
    <w:pPr>
      <w:widowControl w:val="0"/>
      <w:suppressAutoHyphens w:val="1"/>
      <w:spacing w:after="180" w:before="180" w:line="340" w:lineRule="exact"/>
      <w:ind w:left="0" w:right="567" w:leftChars="0" w:firstLine="0" w:firstLineChars="0"/>
      <w:jc w:val="left"/>
      <w:textDirection w:val="lrTb"/>
      <w:textAlignment w:val="auto"/>
      <w:outlineLvl w:val="9"/>
    </w:pPr>
    <w:rPr>
      <w:b w:val="1"/>
      <w:position w:val="0"/>
      <w:sz w:val="28"/>
      <w:lang w:bidi="ar-SA" w:eastAsia="cs-CZ"/>
    </w:rPr>
  </w:style>
  <w:style w:type="table" w:styleId="ab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c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d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e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0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TAL" w:customStyle="1">
    <w:name w:val="TAL"/>
    <w:basedOn w:val="Normln"/>
    <w:rsid w:val="003D36C0"/>
    <w:pPr>
      <w:keepNext w:val="1"/>
      <w:keepLines w:val="1"/>
      <w:spacing w:after="0" w:line="240" w:lineRule="auto"/>
      <w:ind w:left="0" w:leftChars="0" w:firstLine="0" w:firstLineChars="0"/>
      <w:jc w:val="left"/>
      <w:textDirection w:val="lrTb"/>
      <w:textAlignment w:val="auto"/>
      <w:outlineLvl w:val="9"/>
    </w:pPr>
    <w:rPr>
      <w:rFonts w:cs="Times New Roman" w:eastAsia="MS Mincho"/>
      <w:position w:val="0"/>
      <w:sz w:val="18"/>
      <w:lang w:bidi="ar-SA" w:eastAsia="en-US" w:val="en-GB"/>
    </w:rPr>
  </w:style>
  <w:style w:type="paragraph" w:styleId="Tabletitle" w:customStyle="1">
    <w:name w:val="Table title"/>
    <w:basedOn w:val="Normln"/>
    <w:uiPriority w:val="99"/>
    <w:rsid w:val="00E25D88"/>
    <w:pPr>
      <w:suppressAutoHyphens w:val="1"/>
      <w:spacing w:before="120" w:line="240" w:lineRule="atLeast"/>
      <w:ind w:left="0" w:leftChars="0" w:firstLine="0" w:firstLineChars="0"/>
      <w:jc w:val="center"/>
      <w:textDirection w:val="lrTb"/>
      <w:textAlignment w:val="auto"/>
      <w:outlineLvl w:val="9"/>
    </w:pPr>
    <w:rPr>
      <w:rFonts w:ascii="Cambria" w:cs="Times New Roman" w:eastAsia="Calibri" w:hAnsi="Cambria"/>
      <w:b w:val="1"/>
      <w:position w:val="0"/>
      <w:sz w:val="22"/>
      <w:szCs w:val="22"/>
      <w:lang w:bidi="ar-SA" w:eastAsia="en-US" w:val="en-GB"/>
    </w:rPr>
  </w:style>
  <w:style w:type="paragraph" w:styleId="Bezmezer">
    <w:name w:val="No Spacing"/>
    <w:uiPriority w:val="1"/>
    <w:qFormat w:val="1"/>
    <w:rsid w:val="00E25D88"/>
    <w:pPr>
      <w:spacing w:after="0" w:line="240" w:lineRule="auto"/>
      <w:ind w:left="-1" w:leftChars="-1" w:hangingChars="1"/>
      <w:textDirection w:val="btLr"/>
      <w:textAlignment w:val="top"/>
      <w:outlineLvl w:val="0"/>
    </w:pPr>
    <w:rPr>
      <w:rFonts w:cs="Mangal"/>
      <w:position w:val="-1"/>
      <w:szCs w:val="18"/>
      <w:lang w:bidi="hi-IN" w:eastAsia="hi-IN"/>
    </w:rPr>
  </w:style>
  <w:style w:type="paragraph" w:styleId="Example" w:customStyle="1">
    <w:name w:val="Example"/>
    <w:basedOn w:val="Normln"/>
    <w:rsid w:val="007364F6"/>
    <w:pPr>
      <w:tabs>
        <w:tab w:val="left" w:pos="1354"/>
      </w:tabs>
      <w:spacing w:after="240" w:line="220" w:lineRule="atLeast"/>
      <w:ind w:left="0" w:leftChars="0" w:firstLine="0" w:firstLineChars="0"/>
      <w:textDirection w:val="lrTb"/>
      <w:textAlignment w:val="auto"/>
      <w:outlineLvl w:val="9"/>
    </w:pPr>
    <w:rPr>
      <w:rFonts w:ascii="Cambria" w:cs="Times New Roman" w:eastAsia="Calibri" w:hAnsi="Cambria"/>
      <w:position w:val="0"/>
      <w:szCs w:val="22"/>
      <w:lang w:bidi="ar-SA" w:eastAsia="en-US" w:val="en-GB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ind w:left="0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footer" Target="footer1.xml"/><Relationship Id="rId12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yperlink" Target="http://www.itsterminology.org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phi1kr5DTWuKjQRQx6Ih8nn/yJA==">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2021-03-11T08:43:00Z</dcterms:created>
  <dc:creator>Petr Bureš</dc:creator>
</cp:coreProperties>
</file>