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widowControl w:val="0"/>
        <w:pBdr>
          <w:top w:space="0" w:sz="0" w:val="nil"/>
          <w:left w:space="0" w:sz="0" w:val="nil"/>
          <w:bottom w:space="0" w:sz="0" w:val="nil"/>
          <w:right w:space="0" w:sz="0" w:val="nil"/>
          <w:between w:space="0" w:sz="0" w:val="nil"/>
        </w:pBdr>
        <w:tabs>
          <w:tab w:val="left" w:pos="7080"/>
          <w:tab w:val="right" w:pos="9923"/>
        </w:tabs>
        <w:spacing w:after="60" w:lineRule="auto"/>
        <w:ind w:left="2" w:hanging="4"/>
        <w:jc w:val="center"/>
        <w:rPr>
          <w:b w:val="1"/>
          <w:color w:val="000000"/>
          <w:sz w:val="40"/>
          <w:szCs w:val="40"/>
        </w:rPr>
      </w:pPr>
      <w:bookmarkStart w:colFirst="0" w:colLast="0" w:name="_heading=h.gjdgxs" w:id="0"/>
      <w:bookmarkEnd w:id="0"/>
      <w:r w:rsidDel="00000000" w:rsidR="00000000" w:rsidRPr="00000000">
        <w:rPr>
          <w:b w:val="1"/>
          <w:color w:val="000000"/>
          <w:sz w:val="40"/>
          <w:szCs w:val="40"/>
        </w:rPr>
        <w:drawing>
          <wp:anchor allowOverlap="1" behindDoc="0" distB="0" distT="0" distL="114300" distR="114300" hidden="0" layoutInCell="1" locked="0" relativeHeight="0" simplePos="0">
            <wp:simplePos x="0" y="0"/>
            <wp:positionH relativeFrom="leftMargin">
              <wp:posOffset>0</wp:posOffset>
            </wp:positionH>
            <wp:positionV relativeFrom="topMargin">
              <wp:posOffset>-449577</wp:posOffset>
            </wp:positionV>
            <wp:extent cx="75565" cy="151765"/>
            <wp:effectExtent b="0" l="0" r="0" t="0"/>
            <wp:wrapSquare wrapText="bothSides" distB="0" distT="0" distL="114300" distR="114300"/>
            <wp:docPr id="104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5565" cy="151765"/>
                    </a:xfrm>
                    <a:prstGeom prst="rect"/>
                    <a:ln/>
                  </pic:spPr>
                </pic:pic>
              </a:graphicData>
            </a:graphic>
          </wp:anchor>
        </w:drawing>
      </w:r>
      <w:r w:rsidDel="00000000" w:rsidR="00000000" w:rsidRPr="00000000">
        <w:rPr>
          <w:b w:val="1"/>
          <w:sz w:val="40"/>
          <w:szCs w:val="40"/>
          <w:rtl w:val="0"/>
        </w:rPr>
        <w:t xml:space="preserve">EXTRAKT z technické specifikace ISO</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ind w:left="0" w:hanging="2"/>
        <w:rPr>
          <w:color w:val="000000"/>
          <w:sz w:val="16"/>
          <w:szCs w:val="16"/>
        </w:rPr>
      </w:pPr>
      <w:bookmarkStart w:colFirst="0" w:colLast="0" w:name="_heading=h.30j0zll" w:id="1"/>
      <w:bookmarkEnd w:id="1"/>
      <w:r w:rsidDel="00000000" w:rsidR="00000000" w:rsidRPr="00000000">
        <w:rPr>
          <w:b w:val="1"/>
          <w:color w:val="000000"/>
          <w:rtl w:val="0"/>
        </w:rPr>
        <w:t xml:space="preserve">Extrakt nenahrazuje samotnou technickou normu, je pouze informativním materiálem o normě.</w:t>
      </w:r>
      <w:r w:rsidDel="00000000" w:rsidR="00000000" w:rsidRPr="00000000">
        <w:rPr>
          <w:rtl w:val="0"/>
        </w:rPr>
      </w:r>
    </w:p>
    <w:tbl>
      <w:tblPr>
        <w:tblStyle w:val="Table1"/>
        <w:tblW w:w="9030.0" w:type="dxa"/>
        <w:jc w:val="left"/>
        <w:tblInd w:w="131.0" w:type="dxa"/>
        <w:tblLayout w:type="fixed"/>
        <w:tblLook w:val="0000"/>
      </w:tblPr>
      <w:tblGrid>
        <w:gridCol w:w="6764"/>
        <w:gridCol w:w="2266"/>
        <w:tblGridChange w:id="0">
          <w:tblGrid>
            <w:gridCol w:w="6764"/>
            <w:gridCol w:w="2266"/>
          </w:tblGrid>
        </w:tblGridChange>
      </w:tblGrid>
      <w:tr>
        <w:trPr>
          <w:cantSplit w:val="0"/>
          <w:trHeight w:val="1200" w:hRule="atLeast"/>
          <w:tblHeader w:val="0"/>
        </w:trPr>
        <w:tc>
          <w:tcPr>
            <w:tcBorders>
              <w:top w:color="000000" w:space="0" w:sz="8" w:val="single"/>
              <w:bottom w:color="000000" w:space="0" w:sz="8" w:val="single"/>
            </w:tcBorders>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80" w:before="180" w:line="340" w:lineRule="auto"/>
              <w:ind w:left="0" w:right="567" w:firstLine="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ulrv2uewhwx2" w:id="2"/>
            <w:bookmarkEnd w:id="2"/>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Inteligentní dopravní systémy – </w:t>
            </w:r>
            <w:r w:rsidDel="00000000" w:rsidR="00000000" w:rsidRPr="00000000">
              <w:rPr>
                <w:b w:val="1"/>
                <w:sz w:val="28"/>
                <w:szCs w:val="28"/>
                <w:rtl w:val="0"/>
              </w:rPr>
              <w:t xml:space="preserve">Dopravní a cestovní informace (TTI) v dopravním protokolu expertní skupiny, druhá generace (TPEG2)</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 Část 25: Nabíjecí infrastruktura pro elektromobily (TPEG2-EMI)</w:t>
            </w:r>
          </w:p>
        </w:tc>
        <w:tc>
          <w:tcPr>
            <w:tcBorders>
              <w:top w:color="000000" w:space="0" w:sz="8" w:val="single"/>
              <w:bottom w:color="000000" w:space="0" w:sz="8" w:val="single"/>
            </w:tcBorders>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before="180" w:lineRule="auto"/>
              <w:ind w:left="1" w:hanging="3"/>
              <w:jc w:val="right"/>
              <w:rPr>
                <w:color w:val="000000"/>
              </w:rPr>
            </w:pPr>
            <w:r w:rsidDel="00000000" w:rsidR="00000000" w:rsidRPr="00000000">
              <w:rPr>
                <w:b w:val="1"/>
                <w:color w:val="000000"/>
                <w:sz w:val="32"/>
                <w:szCs w:val="32"/>
                <w:rtl w:val="0"/>
              </w:rPr>
              <w:t xml:space="preserve">ISO/TS </w:t>
            </w:r>
            <w:r w:rsidDel="00000000" w:rsidR="00000000" w:rsidRPr="00000000">
              <w:rPr>
                <w:b w:val="1"/>
                <w:sz w:val="32"/>
                <w:szCs w:val="32"/>
                <w:rtl w:val="0"/>
              </w:rPr>
              <w:t xml:space="preserve">21219-25</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80" w:before="80" w:lineRule="auto"/>
              <w:ind w:left="0" w:hanging="2"/>
              <w:jc w:val="right"/>
              <w:rPr>
                <w:color w:val="00000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80" w:before="80" w:lineRule="auto"/>
              <w:ind w:left="1" w:hanging="3"/>
              <w:jc w:val="right"/>
              <w:rPr>
                <w:color w:val="000000"/>
              </w:rPr>
            </w:pPr>
            <w:r w:rsidDel="00000000" w:rsidR="00000000" w:rsidRPr="00000000">
              <w:rPr>
                <w:color w:val="000000"/>
                <w:sz w:val="28"/>
                <w:szCs w:val="28"/>
                <w:rtl w:val="0"/>
              </w:rPr>
              <w:t xml:space="preserve">01 8259</w:t>
            </w:r>
            <w:r w:rsidDel="00000000" w:rsidR="00000000" w:rsidRPr="00000000">
              <w:rPr>
                <w:rtl w:val="0"/>
              </w:rPr>
            </w:r>
          </w:p>
        </w:tc>
      </w:tr>
    </w:tbl>
    <w:p w:rsidR="00000000" w:rsidDel="00000000" w:rsidP="00000000" w:rsidRDefault="00000000" w:rsidRPr="00000000" w14:paraId="00000007">
      <w:pPr>
        <w:keepNext w:val="1"/>
        <w:keepLines w:val="1"/>
        <w:pBdr>
          <w:top w:space="0" w:sz="0" w:val="nil"/>
          <w:left w:space="0" w:sz="0" w:val="nil"/>
          <w:bottom w:space="0" w:sz="0" w:val="nil"/>
          <w:right w:space="0" w:sz="0" w:val="nil"/>
          <w:between w:space="0" w:sz="0" w:val="nil"/>
        </w:pBdr>
        <w:spacing w:after="360" w:before="240" w:lineRule="auto"/>
        <w:ind w:left="1" w:hanging="3"/>
        <w:jc w:val="right"/>
        <w:rPr>
          <w:color w:val="000000"/>
        </w:rPr>
      </w:pPr>
      <w:bookmarkStart w:colFirst="0" w:colLast="0" w:name="_heading=h.1fob9te" w:id="3"/>
      <w:bookmarkEnd w:id="3"/>
      <w:r w:rsidDel="00000000" w:rsidR="00000000" w:rsidRPr="00000000">
        <w:rPr>
          <w:color w:val="000000"/>
          <w:sz w:val="28"/>
          <w:szCs w:val="28"/>
          <w:rtl w:val="0"/>
        </w:rPr>
        <w:t xml:space="preserve">Vydána 201</w:t>
      </w:r>
      <w:r w:rsidDel="00000000" w:rsidR="00000000" w:rsidRPr="00000000">
        <w:rPr>
          <w:sz w:val="28"/>
          <w:szCs w:val="28"/>
          <w:rtl w:val="0"/>
        </w:rPr>
        <w:t xml:space="preserve">7</w:t>
      </w:r>
      <w:r w:rsidDel="00000000" w:rsidR="00000000" w:rsidRPr="00000000">
        <w:rPr>
          <w:color w:val="000000"/>
          <w:sz w:val="28"/>
          <w:szCs w:val="28"/>
          <w:rtl w:val="0"/>
        </w:rPr>
        <w:t xml:space="preserve">, </w:t>
      </w:r>
      <w:r w:rsidDel="00000000" w:rsidR="00000000" w:rsidRPr="00000000">
        <w:rPr>
          <w:sz w:val="28"/>
          <w:szCs w:val="28"/>
          <w:rtl w:val="0"/>
        </w:rPr>
        <w:t xml:space="preserve">61</w:t>
      </w:r>
      <w:r w:rsidDel="00000000" w:rsidR="00000000" w:rsidRPr="00000000">
        <w:rPr>
          <w:color w:val="000000"/>
          <w:sz w:val="28"/>
          <w:szCs w:val="28"/>
          <w:rtl w:val="0"/>
        </w:rPr>
        <w:t xml:space="preserve"> stran</w:t>
      </w:r>
      <w:r w:rsidDel="00000000" w:rsidR="00000000" w:rsidRPr="00000000">
        <w:rPr>
          <w:rtl w:val="0"/>
        </w:rPr>
      </w:r>
    </w:p>
    <w:p w:rsidR="00000000" w:rsidDel="00000000" w:rsidP="00000000" w:rsidRDefault="00000000" w:rsidRPr="00000000" w14:paraId="00000007">
      <w:pPr>
        <w:keepNext w:val="1"/>
        <w:keepLines w:val="1"/>
        <w:pBdr>
          <w:top w:space="0" w:sz="0" w:val="nil"/>
          <w:left w:space="0" w:sz="0" w:val="nil"/>
          <w:bottom w:space="0" w:sz="0" w:val="nil"/>
          <w:right w:space="0" w:sz="0" w:val="nil"/>
          <w:between w:space="0" w:sz="0" w:val="nil"/>
        </w:pBdr>
        <w:spacing w:after="360" w:before="240" w:lineRule="auto"/>
        <w:ind w:left="1" w:hanging="3"/>
        <w:jc w:val="right"/>
        <w:rPr>
          <w:color w:val="000000"/>
        </w:rPr>
      </w:pPr>
      <w:bookmarkStart w:colFirst="0" w:colLast="0" w:name="_heading=h.1fob9te" w:id="3"/>
      <w:bookmarkEnd w:id="3"/>
      <w:r w:rsidDel="00000000" w:rsidR="00000000" w:rsidRPr="00000000">
        <w:rPr>
          <w:color w:val="000000"/>
          <w:sz w:val="28"/>
          <w:szCs w:val="28"/>
          <w:rtl w:val="0"/>
        </w:rPr>
        <w:t xml:space="preserve">Zavedena v ČSN jako ČSN P ISO/TS 21219-25 (vydána 2017-09, zrušena 2025-08 a nahrazena ČSN ISO 21219-25)</w:t>
      </w:r>
      <w:r w:rsidDel="00000000" w:rsidR="00000000" w:rsidRPr="00000000">
        <w:rPr>
          <w:sz w:val="28"/>
          <w:szCs w:val="28"/>
          <w:rtl w:val="0"/>
        </w:rPr>
        <w:t xml:space="preserve"/>
      </w:r>
      <w:r w:rsidDel="00000000" w:rsidR="00000000" w:rsidRPr="00000000">
        <w:rPr>
          <w:color w:val="000000"/>
          <w:sz w:val="28"/>
          <w:szCs w:val="28"/>
          <w:rtl w:val="0"/>
        </w:rPr>
        <w:t xml:space="preserve"/>
      </w:r>
      <w:r w:rsidDel="00000000" w:rsidR="00000000" w:rsidRPr="00000000">
        <w:rPr>
          <w:sz w:val="28"/>
          <w:szCs w:val="28"/>
          <w:rtl w:val="0"/>
        </w:rPr>
        <w:t xml:space="preserve"/>
      </w:r>
      <w:r w:rsidDel="00000000" w:rsidR="00000000" w:rsidRPr="00000000">
        <w:rPr>
          <w:color w:val="000000"/>
          <w:sz w:val="28"/>
          <w:szCs w:val="28"/>
          <w:rtl w:val="0"/>
        </w:rPr>
        <w:t xml:space="preserve"/>
      </w:r>
      <w:r w:rsidDel="00000000" w:rsidR="00000000" w:rsidRPr="00000000">
        <w:rPr>
          <w:rtl w:val="0"/>
        </w:rPr>
      </w:r>
    </w:p>
    <w:p w:rsidR="00000000" w:rsidDel="00000000" w:rsidP="00000000" w:rsidRDefault="00000000" w:rsidRPr="00000000" w14:paraId="00000008">
      <w:pPr>
        <w:pStyle w:val="Heading1"/>
        <w:ind w:left="0" w:hanging="2"/>
        <w:rPr/>
      </w:pPr>
      <w:bookmarkStart w:colFirst="0" w:colLast="0" w:name="_heading=h.g4aehcqkximl" w:id="4"/>
      <w:bookmarkEnd w:id="4"/>
      <w:r w:rsidDel="00000000" w:rsidR="00000000" w:rsidRPr="00000000">
        <w:rPr>
          <w:rtl w:val="0"/>
        </w:rPr>
        <w:t xml:space="preserve">Úvod</w:t>
      </w:r>
    </w:p>
    <w:p w:rsidR="00000000" w:rsidDel="00000000" w:rsidP="00000000" w:rsidRDefault="00000000" w:rsidRPr="00000000" w14:paraId="00000009">
      <w:pPr>
        <w:ind w:left="0" w:hanging="2"/>
        <w:rPr/>
      </w:pPr>
      <w:r w:rsidDel="00000000" w:rsidR="00000000" w:rsidRPr="00000000">
        <w:rPr>
          <w:rtl w:val="0"/>
        </w:rPr>
        <w:t xml:space="preserve">Technická specifikace ISO 21219 stanovuje formát a protokol TPEG určený pro poskytování informací o dopravě koncovým uživatelům. TPEG je určen pro média s vysokou přenosovou kapacitou, umožňuje informace členit strukturovaně se zvyšující se mírou detailů a komplexně popisovat polohu. </w:t>
      </w:r>
    </w:p>
    <w:p w:rsidR="00000000" w:rsidDel="00000000" w:rsidP="00000000" w:rsidRDefault="00000000" w:rsidRPr="00000000" w14:paraId="0000000A">
      <w:pPr>
        <w:ind w:left="0" w:hanging="2"/>
        <w:rPr/>
      </w:pPr>
      <w:r w:rsidDel="00000000" w:rsidR="00000000" w:rsidRPr="00000000">
        <w:rPr>
          <w:rtl w:val="0"/>
        </w:rPr>
        <w:t xml:space="preserve">Jednotlivé oblasti dopravních událostí jsou v TPEG popsány odděleně, pomocí platformě nezávislého modelu (UML) a dvou odvozených platformě závislých modelů (binární a XML). Části specifikace stanovují pravidla tvorby modelu jeho převodu do platformě závislé podoby. </w:t>
      </w:r>
    </w:p>
    <w:p w:rsidR="00000000" w:rsidDel="00000000" w:rsidP="00000000" w:rsidRDefault="00000000" w:rsidRPr="00000000" w14:paraId="0000000B">
      <w:pPr>
        <w:ind w:left="0" w:hanging="2"/>
        <w:rPr>
          <w:u w:val="single"/>
        </w:rPr>
      </w:pPr>
      <w:r w:rsidDel="00000000" w:rsidR="00000000" w:rsidRPr="00000000">
        <w:rPr>
          <w:u w:val="single"/>
          <w:rtl w:val="0"/>
        </w:rPr>
        <w:t xml:space="preserve">Více informací o kontextu TPEG je obsaženo v úvodu extraktu k části 1 normy TPEG (21219-1).</w:t>
      </w:r>
    </w:p>
    <w:p w:rsidR="00000000" w:rsidDel="00000000" w:rsidP="00000000" w:rsidRDefault="00000000" w:rsidRPr="00000000" w14:paraId="0000000C">
      <w:pPr>
        <w:ind w:left="0" w:hanging="2"/>
        <w:rPr/>
      </w:pPr>
      <w:r w:rsidDel="00000000" w:rsidR="00000000" w:rsidRPr="00000000">
        <w:rPr>
          <w:rtl w:val="0"/>
        </w:rPr>
        <w:t xml:space="preserve">Technická specifikace ISO 21219 se zabývá druhou generací protokolu TPEG, označovaným zkratkou TPEG2. Rozlišení TPEG/TPEG1/TPEG2 se většinou uvádí pouze v úvodní části norem/specifikací, zatímco ostatní kapitoly již mezi TPEG a TPEG2 nerozlišují – to je implicitní dle kontextu. </w:t>
      </w:r>
    </w:p>
    <w:p w:rsidR="00000000" w:rsidDel="00000000" w:rsidP="00000000" w:rsidRDefault="00000000" w:rsidRPr="00000000" w14:paraId="0000000D">
      <w:pPr>
        <w:ind w:left="0" w:hanging="2"/>
        <w:rPr/>
      </w:pPr>
      <w:r w:rsidDel="00000000" w:rsidR="00000000" w:rsidRPr="00000000">
        <w:rPr>
          <w:rtl w:val="0"/>
        </w:rPr>
        <w:t xml:space="preserve">Tento extrakt (dále jen “popisovaný dokument”) popisuje část 25 normy TPEG “Nabíjecí infrastruktura pro elektromobily (EMI)”, která specifikuje statické a dynamické informace o nabíjecí infrastruktuře a umožňuje její rezervaci..</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before="240" w:line="240" w:lineRule="auto"/>
        <w:ind w:left="0" w:hanging="2"/>
        <w:rPr>
          <w:rFonts w:ascii="Times New Roman" w:cs="Times New Roman" w:eastAsia="Times New Roman" w:hAnsi="Times New Roman"/>
          <w:color w:val="000000"/>
          <w:sz w:val="24"/>
          <w:szCs w:val="24"/>
        </w:rPr>
      </w:pPr>
      <w:bookmarkStart w:colFirst="0" w:colLast="0" w:name="_heading=h.3znysh7" w:id="5"/>
      <w:bookmarkEnd w:id="5"/>
      <w:r w:rsidDel="00000000" w:rsidR="00000000" w:rsidRPr="00000000">
        <w:rPr>
          <w:i w:val="1"/>
          <w:color w:val="000000"/>
          <w:sz w:val="18"/>
          <w:szCs w:val="18"/>
          <w:rtl w:val="0"/>
        </w:rPr>
        <w:t xml:space="preserve">Poznámka: Extrakt uvádí vybrané kapitoly popisovaného dokumentu a přejímá původní číslování kapitol.</w:t>
      </w:r>
      <w:r w:rsidDel="00000000" w:rsidR="00000000" w:rsidRPr="00000000">
        <w:rPr>
          <w:rtl w:val="0"/>
        </w:rPr>
      </w:r>
    </w:p>
    <w:p w:rsidR="00000000" w:rsidDel="00000000" w:rsidP="00000000" w:rsidRDefault="00000000" w:rsidRPr="00000000" w14:paraId="0000000F">
      <w:pPr>
        <w:keepNext w:val="1"/>
        <w:keepLines w:val="1"/>
        <w:pBdr>
          <w:top w:space="0" w:sz="0" w:val="nil"/>
          <w:left w:space="0" w:sz="0" w:val="nil"/>
          <w:bottom w:space="0" w:sz="0" w:val="nil"/>
          <w:right w:space="0" w:sz="0" w:val="nil"/>
          <w:between w:space="0" w:sz="0" w:val="nil"/>
        </w:pBdr>
        <w:spacing w:after="60" w:before="200" w:lineRule="auto"/>
        <w:ind w:left="0" w:hanging="2"/>
        <w:rPr>
          <w:b w:val="1"/>
          <w:color w:val="000000"/>
          <w:sz w:val="22"/>
          <w:szCs w:val="22"/>
        </w:rPr>
      </w:pPr>
      <w:r w:rsidDel="00000000" w:rsidR="00000000" w:rsidRPr="00000000">
        <w:rPr>
          <w:b w:val="1"/>
          <w:color w:val="000000"/>
          <w:sz w:val="22"/>
          <w:szCs w:val="22"/>
          <w:rtl w:val="0"/>
        </w:rPr>
        <w:t xml:space="preserve">Užití</w:t>
      </w:r>
    </w:p>
    <w:p w:rsidR="00000000" w:rsidDel="00000000" w:rsidP="00000000" w:rsidRDefault="00000000" w:rsidRPr="00000000" w14:paraId="00000010">
      <w:pPr>
        <w:pBdr>
          <w:top w:space="0" w:sz="0" w:val="nil"/>
          <w:left w:space="0" w:sz="0" w:val="nil"/>
          <w:bottom w:space="0" w:sz="0" w:val="nil"/>
          <w:right w:space="0" w:sz="0" w:val="nil"/>
          <w:between w:space="0" w:sz="0" w:val="nil"/>
        </w:pBdr>
        <w:ind w:left="0" w:hanging="2"/>
        <w:rPr/>
      </w:pPr>
      <w:bookmarkStart w:colFirst="0" w:colLast="0" w:name="_heading=h.2et92p0" w:id="6"/>
      <w:bookmarkEnd w:id="6"/>
      <w:r w:rsidDel="00000000" w:rsidR="00000000" w:rsidRPr="00000000">
        <w:rPr>
          <w:rtl w:val="0"/>
        </w:rPr>
        <w:t xml:space="preserve">Popisovaný dokument stanovuje strukturu pro </w:t>
      </w:r>
      <w:r w:rsidDel="00000000" w:rsidR="00000000" w:rsidRPr="00000000">
        <w:rPr>
          <w:b w:val="1"/>
          <w:rtl w:val="0"/>
        </w:rPr>
        <w:t xml:space="preserve">n</w:t>
      </w:r>
      <w:r w:rsidDel="00000000" w:rsidR="00000000" w:rsidRPr="00000000">
        <w:rPr>
          <w:b w:val="1"/>
          <w:rtl w:val="0"/>
        </w:rPr>
        <w:t xml:space="preserve">abíjecí infrastrukturu pro elektromobily (EMI)</w:t>
      </w:r>
      <w:r w:rsidDel="00000000" w:rsidR="00000000" w:rsidRPr="00000000">
        <w:rPr>
          <w:rtl w:val="0"/>
        </w:rPr>
        <w:t xml:space="preserve"> a pravidla pro tvorbu obsahu těchto struktur. Počítá s pravidelným vysíláním (broadcast) statických informací o parkovištích s nabíjecími stanicemi a nabíjecích stanicích a častějším vysíláním informací </w:t>
      </w:r>
      <w:r w:rsidDel="00000000" w:rsidR="00000000" w:rsidRPr="00000000">
        <w:rPr>
          <w:rtl w:val="0"/>
        </w:rPr>
        <w:t xml:space="preserve">o obsazenosti </w:t>
      </w:r>
      <w:r w:rsidDel="00000000" w:rsidR="00000000" w:rsidRPr="00000000">
        <w:rPr>
          <w:rtl w:val="0"/>
        </w:rPr>
        <w:t xml:space="preserve">těchto parkovišť a stanic. </w:t>
      </w:r>
    </w:p>
    <w:p w:rsidR="00000000" w:rsidDel="00000000" w:rsidP="00000000" w:rsidRDefault="00000000" w:rsidRPr="00000000" w14:paraId="00000011">
      <w:pPr>
        <w:pBdr>
          <w:top w:space="0" w:sz="0" w:val="nil"/>
          <w:left w:space="0" w:sz="0" w:val="nil"/>
          <w:bottom w:space="0" w:sz="0" w:val="nil"/>
          <w:right w:space="0" w:sz="0" w:val="nil"/>
          <w:between w:space="0" w:sz="0" w:val="nil"/>
        </w:pBdr>
        <w:ind w:left="0" w:hanging="2"/>
        <w:rPr/>
      </w:pPr>
      <w:bookmarkStart w:colFirst="0" w:colLast="0" w:name="_heading=h.kafav8576ypi" w:id="7"/>
      <w:bookmarkEnd w:id="7"/>
      <w:r w:rsidDel="00000000" w:rsidR="00000000" w:rsidRPr="00000000">
        <w:rPr>
          <w:rtl w:val="0"/>
        </w:rPr>
        <w:t xml:space="preserve">Dále v režimu klient server (mezi terminálem uživatele a serverem služby EMI) stanovuje možnost si vyžádat rezervaci </w:t>
      </w:r>
      <w:r w:rsidDel="00000000" w:rsidR="00000000" w:rsidRPr="00000000">
        <w:rPr>
          <w:rtl w:val="0"/>
        </w:rPr>
        <w:t xml:space="preserve">nabíjecího místa</w:t>
      </w:r>
      <w:r w:rsidDel="00000000" w:rsidR="00000000" w:rsidRPr="00000000">
        <w:rPr>
          <w:rtl w:val="0"/>
        </w:rPr>
        <w:t xml:space="preserve"> a stanovuje, jak mají být strukturovány požadavek a odpověď. Je nezbytný pro analytiky provozovatele elektromobility a pro analytiky výrobce uživatelského terminálu (aplikace), kteří mají na starost návrh datového modelu systému a návrh pravidel, se kterými systém pracuje. Použije se při návrhu systému. </w:t>
      </w:r>
    </w:p>
    <w:p w:rsidR="00000000" w:rsidDel="00000000" w:rsidP="00000000" w:rsidRDefault="00000000" w:rsidRPr="00000000" w14:paraId="00000012">
      <w:pPr>
        <w:keepNext w:val="1"/>
        <w:keepLines w:val="1"/>
        <w:spacing w:after="60" w:before="200" w:lineRule="auto"/>
        <w:ind w:left="0" w:hanging="2"/>
        <w:rPr>
          <w:b w:val="1"/>
          <w:sz w:val="22"/>
          <w:szCs w:val="22"/>
        </w:rPr>
      </w:pPr>
      <w:r w:rsidDel="00000000" w:rsidR="00000000" w:rsidRPr="00000000">
        <w:rPr>
          <w:b w:val="1"/>
          <w:sz w:val="22"/>
          <w:szCs w:val="22"/>
          <w:rtl w:val="0"/>
        </w:rPr>
        <w:t xml:space="preserve">Souvisící normy</w:t>
      </w:r>
    </w:p>
    <w:p w:rsidR="00000000" w:rsidDel="00000000" w:rsidP="00000000" w:rsidRDefault="00000000" w:rsidRPr="00000000" w14:paraId="00000013">
      <w:pPr>
        <w:ind w:left="0" w:hanging="2"/>
        <w:rPr/>
      </w:pPr>
      <w:r w:rsidDel="00000000" w:rsidR="00000000" w:rsidRPr="00000000">
        <w:rPr>
          <w:rtl w:val="0"/>
        </w:rPr>
        <w:t xml:space="preserve">Popisovaný dokument uvádí 9 normativních odkazů. Pro sestavení zpráv z kontejnerů, odvození z modelu UML, vysílání zpráv a řízení datového toku jsou použity další části normy TPEG2 ISO 21219 (1-6,9) a TPEG1 ISO 18234 část 11 pro popis kontejneru na polohu a klíčovou normu DIN 91286 specifikace identifikátorů elektrických konektorů. </w:t>
      </w:r>
    </w:p>
    <w:p w:rsidR="00000000" w:rsidDel="00000000" w:rsidP="00000000" w:rsidRDefault="00000000" w:rsidRPr="00000000" w14:paraId="00000014">
      <w:pPr>
        <w:keepNext w:val="1"/>
        <w:keepLines w:val="1"/>
        <w:pBdr>
          <w:top w:space="0" w:sz="0" w:val="nil"/>
          <w:left w:space="0" w:sz="0" w:val="nil"/>
          <w:bottom w:space="0" w:sz="0" w:val="nil"/>
          <w:right w:space="0" w:sz="0" w:val="nil"/>
          <w:between w:space="0" w:sz="0" w:val="nil"/>
        </w:pBdr>
        <w:spacing w:after="60" w:before="200" w:lineRule="auto"/>
        <w:ind w:left="0" w:hanging="2"/>
        <w:rPr>
          <w:b w:val="1"/>
          <w:color w:val="000000"/>
          <w:sz w:val="22"/>
          <w:szCs w:val="22"/>
        </w:rPr>
      </w:pPr>
      <w:r w:rsidDel="00000000" w:rsidR="00000000" w:rsidRPr="00000000">
        <w:rPr>
          <w:b w:val="1"/>
          <w:color w:val="000000"/>
          <w:sz w:val="22"/>
          <w:szCs w:val="22"/>
          <w:rtl w:val="0"/>
        </w:rPr>
        <w:t xml:space="preserve">1 Předmět</w:t>
      </w:r>
    </w:p>
    <w:p w:rsidR="00000000" w:rsidDel="00000000" w:rsidP="00000000" w:rsidRDefault="00000000" w:rsidRPr="00000000" w14:paraId="00000015">
      <w:pPr>
        <w:pBdr>
          <w:top w:space="0" w:sz="0" w:val="nil"/>
          <w:left w:space="0" w:sz="0" w:val="nil"/>
          <w:bottom w:space="0" w:sz="0" w:val="nil"/>
          <w:right w:space="0" w:sz="0" w:val="nil"/>
          <w:between w:space="0" w:sz="0" w:val="nil"/>
        </w:pBdr>
        <w:ind w:left="0" w:hanging="2"/>
        <w:rPr/>
      </w:pPr>
      <w:r w:rsidDel="00000000" w:rsidR="00000000" w:rsidRPr="00000000">
        <w:rPr>
          <w:color w:val="000000"/>
          <w:rtl w:val="0"/>
        </w:rPr>
        <w:t xml:space="preserve">Popisovaný dokument </w:t>
      </w:r>
      <w:r w:rsidDel="00000000" w:rsidR="00000000" w:rsidRPr="00000000">
        <w:rPr>
          <w:rtl w:val="0"/>
        </w:rPr>
        <w:t xml:space="preserve">stanovuje</w:t>
      </w:r>
      <w:r w:rsidDel="00000000" w:rsidR="00000000" w:rsidRPr="00000000">
        <w:rPr>
          <w:color w:val="000000"/>
          <w:rtl w:val="0"/>
        </w:rPr>
        <w:t xml:space="preserve"> aplikaci TPEG </w:t>
      </w:r>
      <w:r w:rsidDel="00000000" w:rsidR="00000000" w:rsidRPr="00000000">
        <w:rPr>
          <w:rtl w:val="0"/>
        </w:rPr>
        <w:t xml:space="preserve">EMI</w:t>
      </w:r>
      <w:r w:rsidDel="00000000" w:rsidR="00000000" w:rsidRPr="00000000">
        <w:rPr>
          <w:color w:val="000000"/>
          <w:rtl w:val="0"/>
        </w:rPr>
        <w:t xml:space="preserve"> „</w:t>
      </w:r>
      <w:r w:rsidDel="00000000" w:rsidR="00000000" w:rsidRPr="00000000">
        <w:rPr>
          <w:rtl w:val="0"/>
        </w:rPr>
        <w:t xml:space="preserve">Nabíjecí infrastruktura pro elektromobily</w:t>
      </w:r>
      <w:r w:rsidDel="00000000" w:rsidR="00000000" w:rsidRPr="00000000">
        <w:rPr>
          <w:color w:val="000000"/>
          <w:rtl w:val="0"/>
        </w:rPr>
        <w:t xml:space="preserve">“. Podporuje </w:t>
      </w:r>
      <w:r w:rsidDel="00000000" w:rsidR="00000000" w:rsidRPr="00000000">
        <w:rPr>
          <w:rtl w:val="0"/>
        </w:rPr>
        <w:t xml:space="preserve">informace o nabíjecí infrastruktuře pro elektrická vozidla, umístění nabíjecích míst (v hierarchii místo/stanice/parkoviště) a jejich vhodnosti pro příslušné vozidlo (např. typ konektoru, způsob nabíjení). Vzhledem k tomu, že elektrická vozidla budou "nabíjecí místo" zabírat delší dobu, jsou informace o dostupnosti / čekací době a možnostech rezervace pro uživatele elektrického vozidla velmi důležité, aby mohl optimálně naplánovat svou trasu/jízdu. </w:t>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0" w:hanging="2"/>
        <w:rPr/>
      </w:pPr>
      <w:r w:rsidDel="00000000" w:rsidR="00000000" w:rsidRPr="00000000">
        <w:rPr>
          <w:rtl w:val="0"/>
        </w:rPr>
        <w:t xml:space="preserve">Popisovaný dokument umožňuje (pravidly, popisem datových struktur):</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pacing w:after="0" w:lineRule="auto"/>
        <w:ind w:left="720" w:hanging="360"/>
        <w:rPr>
          <w:u w:val="none"/>
        </w:rPr>
      </w:pPr>
      <w:r w:rsidDel="00000000" w:rsidR="00000000" w:rsidRPr="00000000">
        <w:rPr>
          <w:rtl w:val="0"/>
        </w:rPr>
        <w:t xml:space="preserve">Identifikaci vhodných nabíjecích míst, čímž se zabrání zbytečnému objíždění za účelem nalezení vhodného nabíjecího místa (má rovněž přínos pro životní prostředí).</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pacing w:after="0" w:lineRule="auto"/>
        <w:ind w:left="720" w:hanging="360"/>
        <w:rPr>
          <w:u w:val="none"/>
        </w:rPr>
      </w:pPr>
      <w:r w:rsidDel="00000000" w:rsidR="00000000" w:rsidRPr="00000000">
        <w:rPr>
          <w:rtl w:val="0"/>
        </w:rPr>
        <w:t xml:space="preserve">Ověření dostupnosti nabíjecích míst v reálném čase.</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pacing w:after="0" w:lineRule="auto"/>
        <w:ind w:left="720" w:hanging="360"/>
        <w:rPr>
          <w:u w:val="none"/>
        </w:rPr>
      </w:pPr>
      <w:r w:rsidDel="00000000" w:rsidR="00000000" w:rsidRPr="00000000">
        <w:rPr>
          <w:rtl w:val="0"/>
        </w:rPr>
        <w:t xml:space="preserve">Možnost plánovat dopředu a rezervace místa na </w:t>
      </w:r>
      <w:r w:rsidDel="00000000" w:rsidR="00000000" w:rsidRPr="00000000">
        <w:rPr>
          <w:rtl w:val="0"/>
        </w:rPr>
        <w:t xml:space="preserve">parkovišti s nabíjecími stanicemi</w:t>
      </w:r>
      <w:r w:rsidDel="00000000" w:rsidR="00000000" w:rsidRPr="00000000">
        <w:rPr>
          <w:rtl w:val="0"/>
        </w:rPr>
        <w:t xml:space="preserve">, a tím optimalizovat plánování cesty.</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t xml:space="preserve">Možnost vybrat si finančně atraktivní nabíjecí místo v </w:t>
      </w:r>
      <w:r w:rsidDel="00000000" w:rsidR="00000000" w:rsidRPr="00000000">
        <w:rPr>
          <w:rtl w:val="0"/>
        </w:rPr>
        <w:t xml:space="preserve">parkovišti s nabíjecími stanicemi</w:t>
      </w:r>
      <w:r w:rsidDel="00000000" w:rsidR="00000000" w:rsidRPr="00000000">
        <w:rPr>
          <w:rtl w:val="0"/>
        </w:rPr>
        <w:t xml:space="preserve">, jehož provozovatel má uzavřenou smlouvu o vyúčtování s poskytovatelem služby elektromobility uživatele. </w:t>
      </w:r>
    </w:p>
    <w:p w:rsidR="00000000" w:rsidDel="00000000" w:rsidP="00000000" w:rsidRDefault="00000000" w:rsidRPr="00000000" w14:paraId="0000001B">
      <w:pPr>
        <w:pBdr>
          <w:top w:space="0" w:sz="0" w:val="nil"/>
          <w:left w:space="0" w:sz="0" w:val="nil"/>
          <w:bottom w:space="0" w:sz="0" w:val="nil"/>
          <w:right w:space="0" w:sz="0" w:val="nil"/>
          <w:between w:space="0" w:sz="0" w:val="nil"/>
        </w:pBdr>
        <w:ind w:firstLine="0"/>
        <w:rPr/>
      </w:pPr>
      <w:r w:rsidDel="00000000" w:rsidR="00000000" w:rsidRPr="00000000">
        <w:rPr>
          <w:rtl w:val="0"/>
        </w:rPr>
        <w:t xml:space="preserve">Popisovaný dokument ponechává tvůrci publikace volnost k tomu, jak nadefinuje nabíjecí stanice a jimi obsažená nabíjecí místa. Klíčové pro nabíjecí místo totiž není počet nabíjecích konektorů, ale přítomnost vyhrazeného parkovacího místa. Nabíjecí místo není v normalizovaných strukturách použito a může na ní být odkázáno pouze v žádosti o rezervaci nabíjecího místa pomocí externího ID. Ve statické publikaci i dynamické publikaci se uvádí pouze počet konektorů na nabíjecí stanici, který není totožný s počtem nabíjecích míst na stanici.</w:t>
      </w:r>
    </w:p>
    <w:p w:rsidR="00000000" w:rsidDel="00000000" w:rsidP="00000000" w:rsidRDefault="00000000" w:rsidRPr="00000000" w14:paraId="0000001C">
      <w:pPr>
        <w:keepNext w:val="1"/>
        <w:keepLines w:val="1"/>
        <w:pBdr>
          <w:top w:space="0" w:sz="0" w:val="nil"/>
          <w:left w:space="0" w:sz="0" w:val="nil"/>
          <w:bottom w:space="0" w:sz="0" w:val="nil"/>
          <w:right w:space="0" w:sz="0" w:val="nil"/>
          <w:between w:space="0" w:sz="0" w:val="nil"/>
        </w:pBdr>
        <w:spacing w:after="60" w:before="200" w:lineRule="auto"/>
        <w:ind w:left="0" w:hanging="2"/>
        <w:rPr>
          <w:b w:val="1"/>
          <w:color w:val="000000"/>
          <w:sz w:val="22"/>
          <w:szCs w:val="22"/>
        </w:rPr>
      </w:pPr>
      <w:r w:rsidDel="00000000" w:rsidR="00000000" w:rsidRPr="00000000">
        <w:rPr>
          <w:b w:val="1"/>
          <w:color w:val="000000"/>
          <w:sz w:val="22"/>
          <w:szCs w:val="22"/>
          <w:rtl w:val="0"/>
        </w:rPr>
        <w:t xml:space="preserve">3 Termíny a definice</w:t>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0" w:hanging="2"/>
        <w:rPr>
          <w:color w:val="000000"/>
        </w:rPr>
      </w:pPr>
      <w:bookmarkStart w:colFirst="0" w:colLast="0" w:name="_heading=h.tyjcwt" w:id="8"/>
      <w:bookmarkEnd w:id="8"/>
      <w:r w:rsidDel="00000000" w:rsidR="00000000" w:rsidRPr="00000000">
        <w:rPr>
          <w:color w:val="000000"/>
          <w:rtl w:val="0"/>
        </w:rPr>
        <w:t xml:space="preserve">Tato kapitola </w:t>
      </w:r>
      <w:r w:rsidDel="00000000" w:rsidR="00000000" w:rsidRPr="00000000">
        <w:rPr>
          <w:rtl w:val="0"/>
        </w:rPr>
        <w:t xml:space="preserve">stanovuje</w:t>
      </w:r>
      <w:r w:rsidDel="00000000" w:rsidR="00000000" w:rsidRPr="00000000">
        <w:rPr>
          <w:color w:val="000000"/>
          <w:rtl w:val="0"/>
        </w:rPr>
        <w:t xml:space="preserve"> </w:t>
      </w:r>
      <w:r w:rsidDel="00000000" w:rsidR="00000000" w:rsidRPr="00000000">
        <w:rPr>
          <w:rtl w:val="0"/>
        </w:rPr>
        <w:t xml:space="preserve">8</w:t>
      </w:r>
      <w:r w:rsidDel="00000000" w:rsidR="00000000" w:rsidRPr="00000000">
        <w:rPr>
          <w:color w:val="000000"/>
          <w:rtl w:val="0"/>
        </w:rPr>
        <w:t xml:space="preserve"> termínů. Jedná se o definici terminologie </w:t>
      </w:r>
      <w:r w:rsidDel="00000000" w:rsidR="00000000" w:rsidRPr="00000000">
        <w:rPr>
          <w:rtl w:val="0"/>
        </w:rPr>
        <w:t xml:space="preserve">související</w:t>
      </w:r>
      <w:r w:rsidDel="00000000" w:rsidR="00000000" w:rsidRPr="00000000">
        <w:rPr>
          <w:color w:val="000000"/>
          <w:rtl w:val="0"/>
        </w:rPr>
        <w:t xml:space="preserve"> s nabíjecí infrastrukturou pro elektromobily.</w:t>
      </w:r>
    </w:p>
    <w:p w:rsidR="00000000" w:rsidDel="00000000" w:rsidP="00000000" w:rsidRDefault="00000000" w:rsidRPr="00000000" w14:paraId="0000001E">
      <w:pPr>
        <w:pBdr>
          <w:top w:space="0" w:sz="0" w:val="nil"/>
          <w:left w:space="0" w:sz="0" w:val="nil"/>
          <w:bottom w:space="0" w:sz="0" w:val="nil"/>
          <w:right w:space="0" w:sz="0" w:val="nil"/>
          <w:between w:space="0" w:sz="0" w:val="nil"/>
        </w:pBdr>
        <w:ind w:left="0" w:hanging="2"/>
        <w:rPr>
          <w:color w:val="000000"/>
        </w:rPr>
      </w:pPr>
      <w:bookmarkStart w:colFirst="0" w:colLast="0" w:name="_heading=h.mw7rnl5xlxk2" w:id="9"/>
      <w:bookmarkEnd w:id="9"/>
      <w:r w:rsidDel="00000000" w:rsidR="00000000" w:rsidRPr="00000000">
        <w:rPr>
          <w:b w:val="1"/>
          <w:color w:val="000000"/>
          <w:rtl w:val="0"/>
        </w:rPr>
        <w:t xml:space="preserve">parkoviště s nabíjecími stanicemi</w:t>
      </w:r>
      <w:r w:rsidDel="00000000" w:rsidR="00000000" w:rsidRPr="00000000">
        <w:rPr>
          <w:color w:val="000000"/>
          <w:rtl w:val="0"/>
        </w:rPr>
        <w:t xml:space="preserve"> </w:t>
      </w:r>
      <w:r w:rsidDel="00000000" w:rsidR="00000000" w:rsidRPr="00000000">
        <w:rPr>
          <w:i w:val="1"/>
          <w:color w:val="000000"/>
          <w:rtl w:val="0"/>
        </w:rPr>
        <w:t xml:space="preserve">(charging park)</w:t>
      </w:r>
      <w:r w:rsidDel="00000000" w:rsidR="00000000" w:rsidRPr="00000000">
        <w:rPr>
          <w:rtl w:val="0"/>
        </w:rPr>
        <w:t xml:space="preserve"> – </w:t>
      </w:r>
      <w:r w:rsidDel="00000000" w:rsidR="00000000" w:rsidRPr="00000000">
        <w:rPr>
          <w:color w:val="000000"/>
          <w:rtl w:val="0"/>
        </w:rPr>
        <w:t xml:space="preserve">parkoviště s více fyzickými nabíjecími stanicemi, které technicky a/nebo logicky patří k sobě a jsou provozovány společně</w:t>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0" w:hanging="2"/>
        <w:rPr>
          <w:color w:val="000000"/>
        </w:rPr>
      </w:pPr>
      <w:bookmarkStart w:colFirst="0" w:colLast="0" w:name="_heading=h.8p86ldbhlwvc" w:id="10"/>
      <w:bookmarkEnd w:id="10"/>
      <w:r w:rsidDel="00000000" w:rsidR="00000000" w:rsidRPr="00000000">
        <w:rPr>
          <w:b w:val="1"/>
          <w:rtl w:val="0"/>
        </w:rPr>
        <w:t xml:space="preserve">n</w:t>
      </w:r>
      <w:r w:rsidDel="00000000" w:rsidR="00000000" w:rsidRPr="00000000">
        <w:rPr>
          <w:b w:val="1"/>
          <w:color w:val="000000"/>
          <w:rtl w:val="0"/>
        </w:rPr>
        <w:t xml:space="preserve">abíjecí stanice</w:t>
      </w:r>
      <w:r w:rsidDel="00000000" w:rsidR="00000000" w:rsidRPr="00000000">
        <w:rPr>
          <w:color w:val="000000"/>
          <w:rtl w:val="0"/>
        </w:rPr>
        <w:t xml:space="preserve"> </w:t>
      </w:r>
      <w:r w:rsidDel="00000000" w:rsidR="00000000" w:rsidRPr="00000000">
        <w:rPr>
          <w:i w:val="1"/>
          <w:color w:val="000000"/>
          <w:rtl w:val="0"/>
        </w:rPr>
        <w:t xml:space="preserve">(charging station)</w:t>
      </w:r>
      <w:r w:rsidDel="00000000" w:rsidR="00000000" w:rsidRPr="00000000">
        <w:rPr>
          <w:rtl w:val="0"/>
        </w:rPr>
        <w:t xml:space="preserve"> – </w:t>
      </w:r>
      <w:r w:rsidDel="00000000" w:rsidR="00000000" w:rsidRPr="00000000">
        <w:rPr>
          <w:color w:val="000000"/>
          <w:rtl w:val="0"/>
        </w:rPr>
        <w:t xml:space="preserve">stanice tvořená fyzickou jednotkou (obvykle sloupem nebo konstrukcí skříňového vzhledu), která obsahuje a řídí jedno nebo více nabíjecích míst a nabízí koncovému uživateli možnost autorizace (obvykle pomocí čtečky karty) a aktivaci jednoho z nabíjecích míst v nabíjecí stanici, připojení elektromobilu a zapnutí nabíjení</w:t>
      </w:r>
    </w:p>
    <w:p w:rsidR="00000000" w:rsidDel="00000000" w:rsidP="00000000" w:rsidRDefault="00000000" w:rsidRPr="00000000" w14:paraId="00000020">
      <w:pPr>
        <w:pBdr>
          <w:top w:space="0" w:sz="0" w:val="nil"/>
          <w:left w:space="0" w:sz="0" w:val="nil"/>
          <w:bottom w:space="0" w:sz="0" w:val="nil"/>
          <w:right w:space="0" w:sz="0" w:val="nil"/>
          <w:between w:space="0" w:sz="0" w:val="nil"/>
        </w:pBdr>
        <w:ind w:left="0" w:hanging="2"/>
        <w:rPr/>
      </w:pPr>
      <w:bookmarkStart w:colFirst="0" w:colLast="0" w:name="_heading=h.217cwxf99jmk" w:id="11"/>
      <w:bookmarkEnd w:id="11"/>
      <w:r w:rsidDel="00000000" w:rsidR="00000000" w:rsidRPr="00000000">
        <w:rPr>
          <w:b w:val="1"/>
          <w:color w:val="000000"/>
          <w:rtl w:val="0"/>
        </w:rPr>
        <w:t xml:space="preserve">nabíjecí místo</w:t>
      </w:r>
      <w:r w:rsidDel="00000000" w:rsidR="00000000" w:rsidRPr="00000000">
        <w:rPr>
          <w:color w:val="000000"/>
          <w:rtl w:val="0"/>
        </w:rPr>
        <w:t xml:space="preserve"> </w:t>
      </w:r>
      <w:r w:rsidDel="00000000" w:rsidR="00000000" w:rsidRPr="00000000">
        <w:rPr>
          <w:i w:val="1"/>
          <w:color w:val="000000"/>
          <w:rtl w:val="0"/>
        </w:rPr>
        <w:t xml:space="preserve">(charging point)</w:t>
      </w:r>
      <w:r w:rsidDel="00000000" w:rsidR="00000000" w:rsidRPr="00000000">
        <w:rPr>
          <w:rtl w:val="0"/>
        </w:rPr>
        <w:t xml:space="preserve"> – </w:t>
      </w:r>
      <w:r w:rsidDel="00000000" w:rsidR="00000000" w:rsidRPr="00000000">
        <w:rPr>
          <w:color w:val="000000"/>
          <w:rtl w:val="0"/>
        </w:rPr>
        <w:t xml:space="preserve">součást nabíjecí stanice</w:t>
      </w:r>
      <w:r w:rsidDel="00000000" w:rsidR="00000000" w:rsidRPr="00000000">
        <w:rPr>
          <w:rtl w:val="0"/>
        </w:rPr>
        <w:t xml:space="preserve">,</w:t>
      </w:r>
      <w:r w:rsidDel="00000000" w:rsidR="00000000" w:rsidRPr="00000000">
        <w:rPr>
          <w:color w:val="000000"/>
          <w:rtl w:val="0"/>
        </w:rPr>
        <w:t xml:space="preserve"> kde lze elektromobi</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rtl w:val="0"/>
        </w:rPr>
        <w:t xml:space="preserve">nabít. Obsahuje jeden či více elektrických nabíjecích konektorů; při obsazení jednoho konektoru je obsazeno celé nabíjecí místo. Typicky je pro každé nabíjecí místo k dispozici právě jedno parkovací místo.</w:t>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0" w:hanging="2"/>
        <w:rPr>
          <w:color w:val="000000"/>
        </w:rPr>
      </w:pPr>
      <w:bookmarkStart w:colFirst="0" w:colLast="0" w:name="_heading=h.qockqmjaqaw5" w:id="12"/>
      <w:bookmarkEnd w:id="12"/>
      <w:r w:rsidDel="00000000" w:rsidR="00000000" w:rsidRPr="00000000">
        <w:rPr>
          <w:b w:val="1"/>
          <w:color w:val="000000"/>
          <w:rtl w:val="0"/>
        </w:rPr>
        <w:t xml:space="preserve">poskytovatel elektromobility</w:t>
      </w:r>
      <w:r w:rsidDel="00000000" w:rsidR="00000000" w:rsidRPr="00000000">
        <w:rPr>
          <w:color w:val="000000"/>
          <w:rtl w:val="0"/>
        </w:rPr>
        <w:t xml:space="preserve"> </w:t>
      </w:r>
      <w:r w:rsidDel="00000000" w:rsidR="00000000" w:rsidRPr="00000000">
        <w:rPr>
          <w:i w:val="1"/>
          <w:color w:val="000000"/>
          <w:rtl w:val="0"/>
        </w:rPr>
        <w:t xml:space="preserve">(electromobility provider)</w:t>
      </w:r>
      <w:r w:rsidDel="00000000" w:rsidR="00000000" w:rsidRPr="00000000">
        <w:rPr>
          <w:rtl w:val="0"/>
        </w:rPr>
        <w:t xml:space="preserve"> – </w:t>
      </w:r>
      <w:r w:rsidDel="00000000" w:rsidR="00000000" w:rsidRPr="00000000">
        <w:rPr>
          <w:color w:val="000000"/>
          <w:rtl w:val="0"/>
        </w:rPr>
        <w:t xml:space="preserve">obchodní partner koncových uživatelů, který nabíjí jejich elektromobily</w:t>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0" w:hanging="2"/>
        <w:rPr>
          <w:color w:val="000000"/>
        </w:rPr>
      </w:pPr>
      <w:bookmarkStart w:colFirst="0" w:colLast="0" w:name="_heading=h.nlljpv3arw28" w:id="13"/>
      <w:bookmarkEnd w:id="13"/>
      <w:r w:rsidDel="00000000" w:rsidR="00000000" w:rsidRPr="00000000">
        <w:rPr>
          <w:b w:val="1"/>
          <w:color w:val="000000"/>
          <w:rtl w:val="0"/>
        </w:rPr>
        <w:t xml:space="preserve">provozovatel parkoviště s nabíjecími stanicemi</w:t>
      </w:r>
      <w:r w:rsidDel="00000000" w:rsidR="00000000" w:rsidRPr="00000000">
        <w:rPr>
          <w:color w:val="000000"/>
          <w:rtl w:val="0"/>
        </w:rPr>
        <w:t xml:space="preserve"> </w:t>
      </w:r>
      <w:r w:rsidDel="00000000" w:rsidR="00000000" w:rsidRPr="00000000">
        <w:rPr>
          <w:i w:val="1"/>
          <w:color w:val="000000"/>
          <w:rtl w:val="0"/>
        </w:rPr>
        <w:t xml:space="preserve">(charging park operator)</w:t>
      </w:r>
      <w:r w:rsidDel="00000000" w:rsidR="00000000" w:rsidRPr="00000000">
        <w:rPr>
          <w:rtl w:val="0"/>
        </w:rPr>
        <w:t xml:space="preserve"> – </w:t>
      </w:r>
      <w:r w:rsidDel="00000000" w:rsidR="00000000" w:rsidRPr="00000000">
        <w:rPr>
          <w:color w:val="000000"/>
          <w:rtl w:val="0"/>
        </w:rPr>
        <w:t xml:space="preserve">provozovatel, který spravuje jedno nebo více parkovišť s nabíjecími stanicemi</w:t>
      </w:r>
    </w:p>
    <w:p w:rsidR="00000000" w:rsidDel="00000000" w:rsidP="00000000" w:rsidRDefault="00000000" w:rsidRPr="00000000" w14:paraId="00000023">
      <w:pPr>
        <w:keepNext w:val="1"/>
        <w:keepLines w:val="1"/>
        <w:pBdr>
          <w:top w:space="0" w:sz="0" w:val="nil"/>
          <w:left w:space="0" w:sz="0" w:val="nil"/>
          <w:bottom w:space="0" w:sz="0" w:val="nil"/>
          <w:right w:space="0" w:sz="0" w:val="nil"/>
          <w:between w:space="0" w:sz="0" w:val="nil"/>
        </w:pBdr>
        <w:spacing w:after="60" w:before="200" w:lineRule="auto"/>
        <w:ind w:left="0" w:hanging="2"/>
        <w:rPr>
          <w:b w:val="1"/>
          <w:color w:val="000000"/>
          <w:sz w:val="22"/>
          <w:szCs w:val="22"/>
        </w:rPr>
      </w:pPr>
      <w:r w:rsidDel="00000000" w:rsidR="00000000" w:rsidRPr="00000000">
        <w:rPr>
          <w:b w:val="1"/>
          <w:color w:val="000000"/>
          <w:sz w:val="22"/>
          <w:szCs w:val="22"/>
          <w:rtl w:val="0"/>
        </w:rPr>
        <w:t xml:space="preserve">4 Zkratky</w:t>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0" w:hanging="2"/>
        <w:rPr>
          <w:color w:val="000000"/>
        </w:rPr>
      </w:pPr>
      <w:r w:rsidDel="00000000" w:rsidR="00000000" w:rsidRPr="00000000">
        <w:rPr>
          <w:color w:val="000000"/>
          <w:rtl w:val="0"/>
        </w:rPr>
        <w:t xml:space="preserve">Tato kapitola stanovuje </w:t>
      </w:r>
      <w:r w:rsidDel="00000000" w:rsidR="00000000" w:rsidRPr="00000000">
        <w:rPr>
          <w:rtl w:val="0"/>
        </w:rPr>
        <w:t xml:space="preserve">17</w:t>
      </w:r>
      <w:r w:rsidDel="00000000" w:rsidR="00000000" w:rsidRPr="00000000">
        <w:rPr>
          <w:color w:val="000000"/>
          <w:rtl w:val="0"/>
        </w:rPr>
        <w:t xml:space="preserve"> zkratek, důležité z pohledu tohoto extraktu jsou: </w:t>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0" w:hanging="2"/>
        <w:rPr>
          <w:i w:val="1"/>
        </w:rPr>
      </w:pPr>
      <w:r w:rsidDel="00000000" w:rsidR="00000000" w:rsidRPr="00000000">
        <w:rPr>
          <w:b w:val="1"/>
          <w:rtl w:val="0"/>
        </w:rPr>
        <w:t xml:space="preserve">EVSEID </w:t>
      </w:r>
      <w:r w:rsidDel="00000000" w:rsidR="00000000" w:rsidRPr="00000000">
        <w:rPr>
          <w:rtl w:val="0"/>
        </w:rPr>
        <w:t xml:space="preserve">identita příslušenství k nabíjení elektromobilu </w:t>
      </w:r>
      <w:r w:rsidDel="00000000" w:rsidR="00000000" w:rsidRPr="00000000">
        <w:rPr>
          <w:i w:val="1"/>
          <w:rtl w:val="0"/>
        </w:rPr>
        <w:t xml:space="preserve">(Electric Vehicle Supply Equipment Identity)</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0" w:hanging="2"/>
        <w:rPr>
          <w:color w:val="000000"/>
        </w:rPr>
      </w:pPr>
      <w:r w:rsidDel="00000000" w:rsidR="00000000" w:rsidRPr="00000000">
        <w:rPr>
          <w:b w:val="1"/>
          <w:color w:val="000000"/>
          <w:rtl w:val="0"/>
        </w:rPr>
        <w:t xml:space="preserve">MMC</w:t>
      </w:r>
      <w:r w:rsidDel="00000000" w:rsidR="00000000" w:rsidRPr="00000000">
        <w:rPr>
          <w:color w:val="000000"/>
          <w:rtl w:val="0"/>
        </w:rPr>
        <w:tab/>
        <w:t xml:space="preserve">kontejner pro management zpráv </w:t>
      </w:r>
      <w:r w:rsidDel="00000000" w:rsidR="00000000" w:rsidRPr="00000000">
        <w:rPr>
          <w:i w:val="1"/>
          <w:color w:val="000000"/>
          <w:rtl w:val="0"/>
        </w:rPr>
        <w:t xml:space="preserve">(Message Management Container) </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0" w:hanging="2"/>
        <w:rPr>
          <w:color w:val="000000"/>
        </w:rPr>
      </w:pPr>
      <w:r w:rsidDel="00000000" w:rsidR="00000000" w:rsidRPr="00000000">
        <w:rPr>
          <w:b w:val="1"/>
          <w:color w:val="000000"/>
          <w:rtl w:val="0"/>
        </w:rPr>
        <w:t xml:space="preserve">ADC</w:t>
        <w:tab/>
      </w:r>
      <w:r w:rsidDel="00000000" w:rsidR="00000000" w:rsidRPr="00000000">
        <w:rPr>
          <w:color w:val="000000"/>
          <w:rtl w:val="0"/>
        </w:rPr>
        <w:t xml:space="preserve">kontejner pro popis aplikace </w:t>
      </w:r>
      <w:r w:rsidDel="00000000" w:rsidR="00000000" w:rsidRPr="00000000">
        <w:rPr>
          <w:i w:val="1"/>
          <w:color w:val="000000"/>
          <w:rtl w:val="0"/>
        </w:rPr>
        <w:t xml:space="preserve">(Application Data Container) </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0" w:hanging="2"/>
        <w:rPr>
          <w:color w:val="000000"/>
        </w:rPr>
      </w:pPr>
      <w:r w:rsidDel="00000000" w:rsidR="00000000" w:rsidRPr="00000000">
        <w:rPr>
          <w:b w:val="1"/>
          <w:color w:val="000000"/>
          <w:rtl w:val="0"/>
        </w:rPr>
        <w:t xml:space="preserve">LRC</w:t>
        <w:tab/>
      </w:r>
      <w:r w:rsidDel="00000000" w:rsidR="00000000" w:rsidRPr="00000000">
        <w:rPr>
          <w:color w:val="000000"/>
          <w:rtl w:val="0"/>
        </w:rPr>
        <w:t xml:space="preserve">kontejner pro odkazování na polohu </w:t>
      </w:r>
      <w:r w:rsidDel="00000000" w:rsidR="00000000" w:rsidRPr="00000000">
        <w:rPr>
          <w:i w:val="1"/>
          <w:color w:val="000000"/>
          <w:rtl w:val="0"/>
        </w:rPr>
        <w:t xml:space="preserve">(Location Referencing Container) </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0" w:hanging="2"/>
        <w:rPr>
          <w:i w:val="1"/>
          <w:color w:val="000000"/>
        </w:rPr>
      </w:pPr>
      <w:r w:rsidDel="00000000" w:rsidR="00000000" w:rsidRPr="00000000">
        <w:rPr>
          <w:b w:val="1"/>
          <w:rtl w:val="0"/>
        </w:rPr>
        <w:t xml:space="preserve">EMI</w:t>
        <w:tab/>
      </w:r>
      <w:r w:rsidDel="00000000" w:rsidR="00000000" w:rsidRPr="00000000">
        <w:rPr>
          <w:rtl w:val="0"/>
        </w:rPr>
        <w:t xml:space="preserve">nabíjecí infrastruktura pro elektromobily </w:t>
      </w:r>
      <w:r w:rsidDel="00000000" w:rsidR="00000000" w:rsidRPr="00000000">
        <w:rPr>
          <w:i w:val="1"/>
          <w:rtl w:val="0"/>
        </w:rPr>
        <w:t xml:space="preserve">(ElectroMobility Charging Infrastructure)</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ind w:left="0" w:hanging="2"/>
        <w:rPr>
          <w:i w:val="1"/>
          <w:color w:val="000000"/>
        </w:rPr>
      </w:pPr>
      <w:r w:rsidDel="00000000" w:rsidR="00000000" w:rsidRPr="00000000">
        <w:rPr>
          <w:b w:val="1"/>
          <w:color w:val="000000"/>
          <w:rtl w:val="0"/>
        </w:rPr>
        <w:t xml:space="preserve">UML</w:t>
      </w:r>
      <w:r w:rsidDel="00000000" w:rsidR="00000000" w:rsidRPr="00000000">
        <w:rPr>
          <w:i w:val="1"/>
          <w:color w:val="000000"/>
          <w:rtl w:val="0"/>
        </w:rPr>
        <w:tab/>
      </w:r>
      <w:r w:rsidDel="00000000" w:rsidR="00000000" w:rsidRPr="00000000">
        <w:rPr>
          <w:color w:val="000000"/>
          <w:rtl w:val="0"/>
        </w:rPr>
        <w:t xml:space="preserve">Unifikovaný modelovací jazyk</w:t>
      </w:r>
      <w:r w:rsidDel="00000000" w:rsidR="00000000" w:rsidRPr="00000000">
        <w:rPr>
          <w:i w:val="1"/>
          <w:color w:val="000000"/>
          <w:rtl w:val="0"/>
        </w:rPr>
        <w:t xml:space="preserve"> (Unified Modelling Language)</w:t>
      </w:r>
    </w:p>
    <w:p w:rsidR="00000000" w:rsidDel="00000000" w:rsidP="00000000" w:rsidRDefault="00000000" w:rsidRPr="00000000" w14:paraId="0000002B">
      <w:pPr>
        <w:ind w:firstLine="0"/>
        <w:rPr>
          <w:i w:val="1"/>
        </w:rPr>
      </w:pPr>
      <w:r w:rsidDel="00000000" w:rsidR="00000000" w:rsidRPr="00000000">
        <w:rPr>
          <w:b w:val="1"/>
          <w:rtl w:val="0"/>
        </w:rPr>
        <w:t xml:space="preserve">TPEG</w:t>
        <w:tab/>
      </w:r>
      <w:r w:rsidDel="00000000" w:rsidR="00000000" w:rsidRPr="00000000">
        <w:rPr>
          <w:rtl w:val="0"/>
        </w:rPr>
        <w:t xml:space="preserve">framework poskytující formáty a protokoly pro poskytování dopravních informací, optimalizovaných na šíření prostřednictvím digitálního rozhlasu či Internetu</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0" w:hanging="2"/>
        <w:rPr>
          <w:color w:val="000000"/>
        </w:rPr>
      </w:pPr>
      <w:r w:rsidDel="00000000" w:rsidR="00000000" w:rsidRPr="00000000">
        <w:rPr>
          <w:i w:val="1"/>
          <w:color w:val="000000"/>
          <w:sz w:val="18"/>
          <w:szCs w:val="18"/>
          <w:rtl w:val="0"/>
        </w:rPr>
        <w:t xml:space="preserve">Poznámka: Další termíny a zkratky z oboru ITS jsou obsaženy ve slovníku ITS terminology (</w:t>
      </w:r>
      <w:hyperlink r:id="rId8">
        <w:r w:rsidDel="00000000" w:rsidR="00000000" w:rsidRPr="00000000">
          <w:rPr>
            <w:i w:val="1"/>
            <w:color w:val="000000"/>
            <w:sz w:val="18"/>
            <w:szCs w:val="18"/>
            <w:rtl w:val="0"/>
          </w:rPr>
          <w:t xml:space="preserve">www.itsterminology.org</w:t>
        </w:r>
      </w:hyperlink>
      <w:r w:rsidDel="00000000" w:rsidR="00000000" w:rsidRPr="00000000">
        <w:rPr>
          <w:i w:val="1"/>
          <w:color w:val="000000"/>
          <w:sz w:val="18"/>
          <w:szCs w:val="18"/>
          <w:rtl w:val="0"/>
        </w:rPr>
        <w:t xml:space="preserve">)</w:t>
      </w:r>
      <w:r w:rsidDel="00000000" w:rsidR="00000000" w:rsidRPr="00000000">
        <w:rPr>
          <w:rtl w:val="0"/>
        </w:rPr>
      </w:r>
    </w:p>
    <w:p w:rsidR="00000000" w:rsidDel="00000000" w:rsidP="00000000" w:rsidRDefault="00000000" w:rsidRPr="00000000" w14:paraId="0000002D">
      <w:pPr>
        <w:keepNext w:val="1"/>
        <w:keepLines w:val="1"/>
        <w:pBdr>
          <w:top w:space="0" w:sz="0" w:val="nil"/>
          <w:left w:space="0" w:sz="0" w:val="nil"/>
          <w:bottom w:space="0" w:sz="0" w:val="nil"/>
          <w:right w:space="0" w:sz="0" w:val="nil"/>
          <w:between w:space="0" w:sz="0" w:val="nil"/>
        </w:pBdr>
        <w:spacing w:after="60" w:before="200" w:lineRule="auto"/>
        <w:ind w:left="0" w:hanging="2"/>
        <w:rPr>
          <w:b w:val="1"/>
          <w:color w:val="000000"/>
          <w:sz w:val="22"/>
          <w:szCs w:val="22"/>
        </w:rPr>
      </w:pPr>
      <w:r w:rsidDel="00000000" w:rsidR="00000000" w:rsidRPr="00000000">
        <w:rPr>
          <w:b w:val="1"/>
          <w:color w:val="000000"/>
          <w:sz w:val="22"/>
          <w:szCs w:val="22"/>
          <w:rtl w:val="0"/>
        </w:rPr>
        <w:t xml:space="preserve">5 Podmínky a omezení aplikace</w:t>
      </w:r>
    </w:p>
    <w:p w:rsidR="00000000" w:rsidDel="00000000" w:rsidP="00000000" w:rsidRDefault="00000000" w:rsidRPr="00000000" w14:paraId="0000002E">
      <w:pPr>
        <w:pBdr>
          <w:top w:space="0" w:sz="0" w:val="nil"/>
          <w:left w:space="0" w:sz="0" w:val="nil"/>
          <w:bottom w:space="0" w:sz="0" w:val="nil"/>
          <w:right w:space="0" w:sz="0" w:val="nil"/>
          <w:between w:space="0" w:sz="0" w:val="nil"/>
        </w:pBdr>
        <w:ind w:left="0" w:hanging="2"/>
        <w:rPr>
          <w:color w:val="000000"/>
        </w:rPr>
      </w:pPr>
      <w:bookmarkStart w:colFirst="0" w:colLast="0" w:name="_heading=h.1t3h5sf" w:id="14"/>
      <w:bookmarkEnd w:id="14"/>
      <w:r w:rsidDel="00000000" w:rsidR="00000000" w:rsidRPr="00000000">
        <w:rPr>
          <w:color w:val="000000"/>
          <w:rtl w:val="0"/>
        </w:rPr>
        <w:t xml:space="preserve">Tato kapitola (rozsah 1,5 strany) vymezuje: </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pacing w:after="0" w:lineRule="auto"/>
        <w:ind w:left="720" w:hanging="360"/>
        <w:jc w:val="left"/>
        <w:rPr>
          <w:color w:val="000000"/>
          <w:u w:val="none"/>
        </w:rPr>
      </w:pPr>
      <w:r w:rsidDel="00000000" w:rsidR="00000000" w:rsidRPr="00000000">
        <w:rPr>
          <w:b w:val="1"/>
          <w:color w:val="000000"/>
          <w:rtl w:val="0"/>
        </w:rPr>
        <w:t xml:space="preserve">Identifikátor aplikace</w:t>
      </w:r>
      <w:r w:rsidDel="00000000" w:rsidR="00000000" w:rsidRPr="00000000">
        <w:rPr>
          <w:color w:val="000000"/>
          <w:rtl w:val="0"/>
        </w:rPr>
        <w:t xml:space="preserve">, který je stanovený pro všechny aplikace v TS 21219-1.</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pacing w:after="0" w:lineRule="auto"/>
        <w:ind w:left="720" w:hanging="360"/>
        <w:jc w:val="left"/>
        <w:rPr>
          <w:color w:val="000000"/>
          <w:u w:val="none"/>
        </w:rPr>
      </w:pPr>
      <w:r w:rsidDel="00000000" w:rsidR="00000000" w:rsidRPr="00000000">
        <w:rPr>
          <w:b w:val="1"/>
          <w:color w:val="000000"/>
          <w:rtl w:val="0"/>
        </w:rPr>
        <w:t xml:space="preserve">Verzi aplikace</w:t>
      </w:r>
      <w:r w:rsidDel="00000000" w:rsidR="00000000" w:rsidRPr="00000000">
        <w:rPr>
          <w:color w:val="000000"/>
          <w:rtl w:val="0"/>
        </w:rPr>
        <w:t xml:space="preserve">. Verze je klíčová z pohledu dekodéru, jednotlivé verze stejné aplikace se totiž mohou od sebe lišit strukturou, obsahem atp. </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pacing w:after="0" w:lineRule="auto"/>
        <w:ind w:left="720" w:hanging="360"/>
        <w:jc w:val="left"/>
        <w:rPr/>
      </w:pPr>
      <w:r w:rsidDel="00000000" w:rsidR="00000000" w:rsidRPr="00000000">
        <w:rPr>
          <w:b w:val="1"/>
          <w:color w:val="000000"/>
          <w:rtl w:val="0"/>
        </w:rPr>
        <w:t xml:space="preserve">Pořadí kontejnerů</w:t>
      </w:r>
      <w:r w:rsidDel="00000000" w:rsidR="00000000" w:rsidRPr="00000000">
        <w:rPr>
          <w:color w:val="000000"/>
          <w:rtl w:val="0"/>
        </w:rPr>
        <w:t xml:space="preserve">, ze kterých je zpráva složena. Zpráva se skládá z kontejneru pro management zpráv (MMC), kontejneru </w:t>
      </w:r>
      <w:r w:rsidDel="00000000" w:rsidR="00000000" w:rsidRPr="00000000">
        <w:rPr>
          <w:rtl w:val="0"/>
        </w:rPr>
        <w:t xml:space="preserve">pro popis</w:t>
      </w:r>
      <w:r w:rsidDel="00000000" w:rsidR="00000000" w:rsidRPr="00000000">
        <w:rPr>
          <w:color w:val="000000"/>
          <w:rtl w:val="0"/>
        </w:rPr>
        <w:t xml:space="preserve"> aplikace (ADC) a kontejneru pro odkazování na polohu (LRC). </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pacing w:after="0" w:lineRule="auto"/>
        <w:ind w:left="720" w:hanging="360"/>
        <w:jc w:val="left"/>
        <w:rPr>
          <w:color w:val="000000"/>
          <w:u w:val="none"/>
        </w:rPr>
      </w:pPr>
      <w:r w:rsidDel="00000000" w:rsidR="00000000" w:rsidRPr="00000000">
        <w:rPr>
          <w:b w:val="1"/>
          <w:color w:val="000000"/>
          <w:rtl w:val="0"/>
        </w:rPr>
        <w:t xml:space="preserve">Rozšiřitelnost a zpětnou kompatibilitu</w:t>
      </w:r>
      <w:r w:rsidDel="00000000" w:rsidR="00000000" w:rsidRPr="00000000">
        <w:rPr>
          <w:color w:val="000000"/>
          <w:rtl w:val="0"/>
        </w:rPr>
        <w:t xml:space="preserve">, jako požadavek na přeskočení neznámých částí zprávy dekodérem a specifikaci v budoucnu rozšiřitelných částí struktur TPEG zprávy.</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pacing w:after="0" w:lineRule="auto"/>
        <w:ind w:left="720" w:hanging="360"/>
        <w:jc w:val="left"/>
        <w:rPr>
          <w:color w:val="000000"/>
          <w:u w:val="none"/>
        </w:rPr>
      </w:pPr>
      <w:r w:rsidDel="00000000" w:rsidR="00000000" w:rsidRPr="00000000">
        <w:rPr>
          <w:b w:val="1"/>
          <w:color w:val="000000"/>
          <w:rtl w:val="0"/>
        </w:rPr>
        <w:t xml:space="preserve">Rámec komponent služby TPEG</w:t>
      </w:r>
      <w:r w:rsidDel="00000000" w:rsidR="00000000" w:rsidRPr="00000000">
        <w:rPr>
          <w:color w:val="000000"/>
          <w:rtl w:val="0"/>
        </w:rPr>
        <w:t xml:space="preserve"> dle ISO/TS 21219-5.</w:t>
      </w:r>
    </w:p>
    <w:p w:rsidR="00000000" w:rsidDel="00000000" w:rsidP="00000000" w:rsidRDefault="00000000" w:rsidRPr="00000000" w14:paraId="00000034">
      <w:pPr>
        <w:keepNext w:val="1"/>
        <w:keepLines w:val="1"/>
        <w:pBdr>
          <w:top w:space="0" w:sz="0" w:val="nil"/>
          <w:left w:space="0" w:sz="0" w:val="nil"/>
          <w:bottom w:space="0" w:sz="0" w:val="nil"/>
          <w:right w:space="0" w:sz="0" w:val="nil"/>
          <w:between w:space="0" w:sz="0" w:val="nil"/>
        </w:pBdr>
        <w:spacing w:after="60" w:before="200" w:lineRule="auto"/>
        <w:ind w:left="0" w:hanging="2"/>
        <w:rPr>
          <w:b w:val="1"/>
          <w:color w:val="000000"/>
          <w:sz w:val="22"/>
          <w:szCs w:val="22"/>
        </w:rPr>
      </w:pPr>
      <w:r w:rsidDel="00000000" w:rsidR="00000000" w:rsidRPr="00000000">
        <w:rPr>
          <w:b w:val="1"/>
          <w:color w:val="000000"/>
          <w:sz w:val="22"/>
          <w:szCs w:val="22"/>
          <w:rtl w:val="0"/>
        </w:rPr>
        <w:t xml:space="preserve">6 Struktura </w:t>
      </w:r>
      <w:r w:rsidDel="00000000" w:rsidR="00000000" w:rsidRPr="00000000">
        <w:rPr>
          <w:b w:val="1"/>
          <w:sz w:val="22"/>
          <w:szCs w:val="22"/>
          <w:rtl w:val="0"/>
        </w:rPr>
        <w:t xml:space="preserve">EMI</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ind w:left="0" w:hanging="2"/>
        <w:rPr>
          <w:color w:val="000000"/>
        </w:rPr>
      </w:pPr>
      <w:r w:rsidDel="00000000" w:rsidR="00000000" w:rsidRPr="00000000">
        <w:rPr>
          <w:color w:val="000000"/>
          <w:rtl w:val="0"/>
        </w:rPr>
        <w:t xml:space="preserve">Tato kapitola (rozsah 10 stran, obrázky a text) obsahuje UML model aplikace </w:t>
      </w:r>
      <w:r w:rsidDel="00000000" w:rsidR="00000000" w:rsidRPr="00000000">
        <w:rPr>
          <w:rtl w:val="0"/>
        </w:rPr>
        <w:t xml:space="preserve">EMI s obrázky a příklady</w:t>
      </w:r>
      <w:r w:rsidDel="00000000" w:rsidR="00000000" w:rsidRPr="00000000">
        <w:rPr>
          <w:color w:val="000000"/>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ind w:left="0" w:hanging="2"/>
        <w:rPr/>
      </w:pPr>
      <w:r w:rsidDel="00000000" w:rsidR="00000000" w:rsidRPr="00000000">
        <w:rPr>
          <w:b w:val="1"/>
          <w:rtl w:val="0"/>
        </w:rPr>
        <w:t xml:space="preserve">Článek 6.2</w:t>
      </w:r>
      <w:r w:rsidDel="00000000" w:rsidR="00000000" w:rsidRPr="00000000">
        <w:rPr>
          <w:rtl w:val="0"/>
        </w:rPr>
        <w:t xml:space="preserve"> uvádí jak je struktura zprávy EMI rozložena a z jakých důvodů. Základní struktura pro popis a identifikaci nabíjecí infrastruktury je (nabíjecí) </w:t>
      </w:r>
      <w:r w:rsidDel="00000000" w:rsidR="00000000" w:rsidRPr="00000000">
        <w:rPr>
          <w:u w:val="single"/>
          <w:rtl w:val="0"/>
        </w:rPr>
        <w:t xml:space="preserve">parkoviště&gt;stanice&gt;</w:t>
      </w:r>
      <w:r w:rsidDel="00000000" w:rsidR="00000000" w:rsidRPr="00000000">
        <w:rPr>
          <w:u w:val="single"/>
          <w:rtl w:val="0"/>
        </w:rPr>
        <w:t xml:space="preserve">místo</w:t>
      </w:r>
      <w:r w:rsidDel="00000000" w:rsidR="00000000" w:rsidRPr="00000000">
        <w:rPr>
          <w:rtl w:val="0"/>
        </w:rPr>
        <w:t xml:space="preserve">, viz následující obrázek.</w:t>
      </w:r>
    </w:p>
    <w:p w:rsidR="00000000" w:rsidDel="00000000" w:rsidP="00000000" w:rsidRDefault="00000000" w:rsidRPr="00000000" w14:paraId="00000037">
      <w:pPr>
        <w:spacing w:after="0" w:lineRule="auto"/>
        <w:ind w:left="0" w:hanging="2"/>
        <w:jc w:val="center"/>
        <w:rPr/>
      </w:pPr>
      <w:bookmarkStart w:colFirst="0" w:colLast="0" w:name="_heading=h.rxhk6wh1zgt5" w:id="15"/>
      <w:bookmarkEnd w:id="15"/>
      <w:r w:rsidDel="00000000" w:rsidR="00000000" w:rsidRPr="00000000">
        <w:rPr/>
        <w:drawing>
          <wp:inline distB="114300" distT="114300" distL="114300" distR="114300">
            <wp:extent cx="4763851" cy="3748088"/>
            <wp:effectExtent b="0" l="0" r="0" t="0"/>
            <wp:docPr id="104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63851" cy="374808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0" w:lineRule="auto"/>
        <w:ind w:left="0" w:hanging="2"/>
        <w:jc w:val="center"/>
        <w:rPr>
          <w:sz w:val="18"/>
          <w:szCs w:val="18"/>
        </w:rPr>
      </w:pPr>
      <w:r w:rsidDel="00000000" w:rsidR="00000000" w:rsidRPr="00000000">
        <w:rPr>
          <w:sz w:val="18"/>
          <w:szCs w:val="18"/>
          <w:rtl w:val="0"/>
        </w:rPr>
        <w:t xml:space="preserve">Obrázek 1 - Struktura nabíjecí infrastruktury (Obrázek 2 normy)</w:t>
      </w:r>
    </w:p>
    <w:p w:rsidR="00000000" w:rsidDel="00000000" w:rsidP="00000000" w:rsidRDefault="00000000" w:rsidRPr="00000000" w14:paraId="00000039">
      <w:pPr>
        <w:ind w:left="0" w:hanging="2"/>
        <w:rPr/>
      </w:pPr>
      <w:r w:rsidDel="00000000" w:rsidR="00000000" w:rsidRPr="00000000">
        <w:rPr>
          <w:rtl w:val="0"/>
        </w:rPr>
        <w:t xml:space="preserve">Dále článek uvádí koncepci, která je dále aplikována v následujících kapitolách. Zpráva EMI musí být dostatečná, aby uživateli umožnila zjistit, kde se stanice nachází, jestli je pro řidiče vhodná (rozměry) a jestli je či není obsazená.</w:t>
      </w:r>
    </w:p>
    <w:p w:rsidR="00000000" w:rsidDel="00000000" w:rsidP="00000000" w:rsidRDefault="00000000" w:rsidRPr="00000000" w14:paraId="0000003A">
      <w:pPr>
        <w:ind w:left="0" w:hanging="2"/>
        <w:rPr/>
      </w:pPr>
      <w:r w:rsidDel="00000000" w:rsidR="00000000" w:rsidRPr="00000000">
        <w:rPr>
          <w:rtl w:val="0"/>
        </w:rPr>
        <w:t xml:space="preserve">Zprávy EMI umožňují poskytnout detailní informace o parkovišti ve “statické” zprávě, která je vysílána s nízkou frekvencí, a ty odkázat v “dynamické” zprávě popisující obsazenost na úroveň </w:t>
      </w:r>
      <w:r w:rsidDel="00000000" w:rsidR="00000000" w:rsidRPr="00000000">
        <w:rPr>
          <w:rtl w:val="0"/>
        </w:rPr>
        <w:t xml:space="preserve">konektorů </w:t>
      </w:r>
      <w:r w:rsidDel="00000000" w:rsidR="00000000" w:rsidRPr="00000000">
        <w:rPr>
          <w:rtl w:val="0"/>
        </w:rPr>
        <w:t xml:space="preserve">v nabíjecích místech. Konceptuálně popisuje tyto typy zpráv i s příkladem:</w:t>
      </w:r>
    </w:p>
    <w:p w:rsidR="00000000" w:rsidDel="00000000" w:rsidP="00000000" w:rsidRDefault="00000000" w:rsidRPr="00000000" w14:paraId="0000003B">
      <w:pPr>
        <w:numPr>
          <w:ilvl w:val="0"/>
          <w:numId w:val="2"/>
        </w:numPr>
        <w:spacing w:after="0" w:lineRule="auto"/>
        <w:ind w:left="720" w:hanging="360"/>
        <w:rPr>
          <w:u w:val="none"/>
        </w:rPr>
      </w:pPr>
      <w:r w:rsidDel="00000000" w:rsidR="00000000" w:rsidRPr="00000000">
        <w:rPr>
          <w:rtl w:val="0"/>
        </w:rPr>
        <w:t xml:space="preserve">zpráva se </w:t>
      </w:r>
      <w:r w:rsidDel="00000000" w:rsidR="00000000" w:rsidRPr="00000000">
        <w:rPr>
          <w:b w:val="1"/>
          <w:rtl w:val="0"/>
        </w:rPr>
        <w:t xml:space="preserve">statickými informacemi</w:t>
      </w:r>
      <w:r w:rsidDel="00000000" w:rsidR="00000000" w:rsidRPr="00000000">
        <w:rPr>
          <w:rtl w:val="0"/>
        </w:rPr>
        <w:t xml:space="preserve"> o parkovišti (co zpráva, to jedno parkoviště), stanicích a nabíjecích místech, obsahuje veškeré informace nutné pro popis polohy, typu nabíjecích stanic, včetně konektorů, provozovatelů, polohy parkoviště, informace o cenách/fakturaci, podporované typy vozidel, omezení velikosti vozidel atp. Statická část je vysílána s výrazně nižší frekvencí než dynamická. (MMC, ADC a LRC, kde ADC obsahuje statické informace o parkovišti a volitelně detailní popis parkoviště)</w:t>
      </w:r>
    </w:p>
    <w:p w:rsidR="00000000" w:rsidDel="00000000" w:rsidP="00000000" w:rsidRDefault="00000000" w:rsidRPr="00000000" w14:paraId="0000003C">
      <w:pPr>
        <w:numPr>
          <w:ilvl w:val="0"/>
          <w:numId w:val="2"/>
        </w:numPr>
        <w:spacing w:after="0" w:lineRule="auto"/>
        <w:ind w:left="720" w:hanging="360"/>
        <w:rPr>
          <w:u w:val="none"/>
        </w:rPr>
      </w:pPr>
      <w:r w:rsidDel="00000000" w:rsidR="00000000" w:rsidRPr="00000000">
        <w:rPr>
          <w:rtl w:val="0"/>
        </w:rPr>
        <w:t xml:space="preserve">zpráva s </w:t>
      </w:r>
      <w:r w:rsidDel="00000000" w:rsidR="00000000" w:rsidRPr="00000000">
        <w:rPr>
          <w:b w:val="1"/>
          <w:rtl w:val="0"/>
        </w:rPr>
        <w:t xml:space="preserve">dynamickými informacemi</w:t>
      </w:r>
      <w:r w:rsidDel="00000000" w:rsidR="00000000" w:rsidRPr="00000000">
        <w:rPr>
          <w:rtl w:val="0"/>
        </w:rPr>
        <w:t xml:space="preserve"> o dostupnosti nabíjecích </w:t>
      </w:r>
      <w:r w:rsidDel="00000000" w:rsidR="00000000" w:rsidRPr="00000000">
        <w:rPr>
          <w:rtl w:val="0"/>
        </w:rPr>
        <w:t xml:space="preserve">míst </w:t>
      </w:r>
      <w:r w:rsidDel="00000000" w:rsidR="00000000" w:rsidRPr="00000000">
        <w:rPr>
          <w:rtl w:val="0"/>
        </w:rPr>
        <w:t xml:space="preserve">pro více parkovišť najednou, počet </w:t>
      </w:r>
      <w:r w:rsidDel="00000000" w:rsidR="00000000" w:rsidRPr="00000000">
        <w:rPr>
          <w:rtl w:val="0"/>
        </w:rPr>
        <w:t xml:space="preserve">volných </w:t>
      </w:r>
      <w:r w:rsidDel="00000000" w:rsidR="00000000" w:rsidRPr="00000000">
        <w:rPr>
          <w:rtl w:val="0"/>
        </w:rPr>
        <w:t xml:space="preserve">parkovacích míst, počet volných míst pro jednotlivé typy konektorů (pouze MMC a “dostupnost nabíjecí infrastruktury”)</w:t>
      </w:r>
    </w:p>
    <w:p w:rsidR="00000000" w:rsidDel="00000000" w:rsidP="00000000" w:rsidRDefault="00000000" w:rsidRPr="00000000" w14:paraId="0000003D">
      <w:pPr>
        <w:numPr>
          <w:ilvl w:val="0"/>
          <w:numId w:val="2"/>
        </w:numPr>
        <w:spacing w:after="0" w:lineRule="auto"/>
        <w:ind w:left="720" w:hanging="360"/>
        <w:rPr>
          <w:u w:val="none"/>
        </w:rPr>
      </w:pPr>
      <w:r w:rsidDel="00000000" w:rsidR="00000000" w:rsidRPr="00000000">
        <w:rPr>
          <w:rtl w:val="0"/>
        </w:rPr>
        <w:t xml:space="preserve">zpráva se žádostí o rezervaci nabíjecí stanice / místa, konektoru podle identifikátoru parkoviště a stanice, externího identifikátoru </w:t>
      </w:r>
      <w:r w:rsidDel="00000000" w:rsidR="00000000" w:rsidRPr="00000000">
        <w:rPr>
          <w:rtl w:val="0"/>
        </w:rPr>
        <w:t xml:space="preserve">stanice</w:t>
      </w:r>
      <w:r w:rsidDel="00000000" w:rsidR="00000000" w:rsidRPr="00000000">
        <w:rPr>
          <w:rtl w:val="0"/>
        </w:rPr>
        <w:t xml:space="preserve"> či polohy (pouze MMC a “žádost o rezervaci”) </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zpráva obsahující odpověď na žádost o rezervaci (pouze MMC a “odpověď na žádost o rezervaci”)</w:t>
      </w:r>
    </w:p>
    <w:p w:rsidR="00000000" w:rsidDel="00000000" w:rsidP="00000000" w:rsidRDefault="00000000" w:rsidRPr="00000000" w14:paraId="0000003F">
      <w:pPr>
        <w:ind w:left="0" w:hanging="2"/>
        <w:rPr/>
      </w:pPr>
      <w:r w:rsidDel="00000000" w:rsidR="00000000" w:rsidRPr="00000000">
        <w:rPr>
          <w:b w:val="1"/>
          <w:rtl w:val="0"/>
        </w:rPr>
        <w:t xml:space="preserve">Článek 6.3 </w:t>
      </w:r>
      <w:r w:rsidDel="00000000" w:rsidR="00000000" w:rsidRPr="00000000">
        <w:rPr>
          <w:rtl w:val="0"/>
        </w:rPr>
        <w:t xml:space="preserve">uvádí konceptuální informace o platebním modelu a platebních možnostech, volně diskutuje možnosti a volby provozovatele nabíjecí infrastruktury a možnosti uživatele.</w:t>
      </w:r>
    </w:p>
    <w:p w:rsidR="00000000" w:rsidDel="00000000" w:rsidP="00000000" w:rsidRDefault="00000000" w:rsidRPr="00000000" w14:paraId="00000040">
      <w:pPr>
        <w:ind w:left="0" w:hanging="2"/>
        <w:rPr/>
      </w:pPr>
      <w:r w:rsidDel="00000000" w:rsidR="00000000" w:rsidRPr="00000000">
        <w:rPr>
          <w:b w:val="1"/>
          <w:rtl w:val="0"/>
        </w:rPr>
        <w:t xml:space="preserve">Článek 6.4 </w:t>
      </w:r>
      <w:r w:rsidDel="00000000" w:rsidR="00000000" w:rsidRPr="00000000">
        <w:rPr>
          <w:rtl w:val="0"/>
        </w:rPr>
        <w:t xml:space="preserve">stanovuje strukturu a uvádí UML model tříd pro jednotlivé typy zpráv EMI (1-4 na obrázku níže). Zpráva EMI je navržena tak, aby obsahovala buď popisné (převážně statické) informace, nebo informace o dostupnosti (převážně dynamické) pro </w:t>
      </w:r>
      <w:r w:rsidDel="00000000" w:rsidR="00000000" w:rsidRPr="00000000">
        <w:rPr>
          <w:rtl w:val="0"/>
        </w:rPr>
        <w:t xml:space="preserve">parkoviště s nabíjecími stanicemi</w:t>
      </w:r>
      <w:r w:rsidDel="00000000" w:rsidR="00000000" w:rsidRPr="00000000">
        <w:rPr>
          <w:rtl w:val="0"/>
        </w:rPr>
        <w:t xml:space="preserve"> a/nebo nabíjecí stanici.</w:t>
      </w:r>
    </w:p>
    <w:p w:rsidR="00000000" w:rsidDel="00000000" w:rsidP="00000000" w:rsidRDefault="00000000" w:rsidRPr="00000000" w14:paraId="00000041">
      <w:pPr>
        <w:ind w:left="0" w:hanging="2"/>
        <w:rPr/>
      </w:pPr>
      <w:r w:rsidDel="00000000" w:rsidR="00000000" w:rsidRPr="00000000">
        <w:rPr>
          <w:rtl w:val="0"/>
        </w:rPr>
        <w:t xml:space="preserve">Křížové odkazování by mezi statickými a dynamickými informacemi mělo být prováděno pomocí unikátních identifikátorů parkID_Key a stationID_Key.</w:t>
      </w:r>
    </w:p>
    <w:p w:rsidR="00000000" w:rsidDel="00000000" w:rsidP="00000000" w:rsidRDefault="00000000" w:rsidRPr="00000000" w14:paraId="00000042">
      <w:pPr>
        <w:ind w:left="0" w:hanging="2"/>
        <w:rPr/>
      </w:pPr>
      <w:r w:rsidDel="00000000" w:rsidR="00000000" w:rsidRPr="00000000">
        <w:rPr>
          <w:rtl w:val="0"/>
        </w:rPr>
        <w:t xml:space="preserve">Je stanoven minimální informační obsah pro uživatele. Struktura ChargingParkInformation obsahující parkID_Key a ChargingParkSiteDesription, doplněné o ChargingParkAvailabilityVector obsahující časovou značku a minimální informace o ChargingParkAvailability (parkID_Key a celkový počet volných míst na </w:t>
      </w:r>
      <w:r w:rsidDel="00000000" w:rsidR="00000000" w:rsidRPr="00000000">
        <w:rPr>
          <w:rtl w:val="0"/>
        </w:rPr>
        <w:t xml:space="preserve">parkovišti s nabíjecími stanicemi</w:t>
      </w:r>
      <w:r w:rsidDel="00000000" w:rsidR="00000000" w:rsidRPr="00000000">
        <w:rPr>
          <w:rtl w:val="0"/>
        </w:rPr>
        <w:t xml:space="preserve">).</w:t>
      </w:r>
    </w:p>
    <w:p w:rsidR="00000000" w:rsidDel="00000000" w:rsidP="00000000" w:rsidRDefault="00000000" w:rsidRPr="00000000" w14:paraId="00000043">
      <w:pPr>
        <w:keepNext w:val="1"/>
        <w:pBdr>
          <w:top w:space="0" w:sz="0" w:val="nil"/>
          <w:left w:space="0" w:sz="0" w:val="nil"/>
          <w:bottom w:space="0" w:sz="0" w:val="nil"/>
          <w:right w:space="0" w:sz="0" w:val="nil"/>
          <w:between w:space="0" w:sz="0" w:val="nil"/>
        </w:pBdr>
        <w:spacing w:after="0" w:lineRule="auto"/>
        <w:ind w:left="0" w:hanging="2"/>
        <w:rPr>
          <w:color w:val="000000"/>
        </w:rPr>
      </w:pPr>
      <w:bookmarkStart w:colFirst="0" w:colLast="0" w:name="_heading=h.4d34og8" w:id="16"/>
      <w:bookmarkEnd w:id="16"/>
      <w:r w:rsidDel="00000000" w:rsidR="00000000" w:rsidRPr="00000000">
        <w:rPr/>
        <w:drawing>
          <wp:inline distB="114300" distT="114300" distL="114300" distR="114300">
            <wp:extent cx="5760410" cy="6019800"/>
            <wp:effectExtent b="0" l="0" r="0" t="0"/>
            <wp:docPr id="104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6041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200" w:lineRule="auto"/>
        <w:ind w:left="0" w:hanging="2"/>
        <w:jc w:val="center"/>
        <w:rPr>
          <w:sz w:val="18"/>
          <w:szCs w:val="18"/>
        </w:rPr>
      </w:pPr>
      <w:r w:rsidDel="00000000" w:rsidR="00000000" w:rsidRPr="00000000">
        <w:rPr>
          <w:color w:val="000000"/>
          <w:sz w:val="18"/>
          <w:szCs w:val="18"/>
          <w:rtl w:val="0"/>
        </w:rPr>
        <w:t xml:space="preserve">Obrázek </w:t>
      </w:r>
      <w:r w:rsidDel="00000000" w:rsidR="00000000" w:rsidRPr="00000000">
        <w:rPr>
          <w:sz w:val="18"/>
          <w:szCs w:val="18"/>
          <w:rtl w:val="0"/>
        </w:rPr>
        <w:t xml:space="preserve">2</w:t>
      </w:r>
      <w:r w:rsidDel="00000000" w:rsidR="00000000" w:rsidRPr="00000000">
        <w:rPr>
          <w:color w:val="000000"/>
          <w:sz w:val="18"/>
          <w:szCs w:val="18"/>
          <w:rtl w:val="0"/>
        </w:rPr>
        <w:t xml:space="preserve"> - UML model tříd aplikace </w:t>
      </w:r>
      <w:r w:rsidDel="00000000" w:rsidR="00000000" w:rsidRPr="00000000">
        <w:rPr>
          <w:sz w:val="18"/>
          <w:szCs w:val="18"/>
          <w:rtl w:val="0"/>
        </w:rPr>
        <w:t xml:space="preserve">EMI</w:t>
      </w:r>
      <w:r w:rsidDel="00000000" w:rsidR="00000000" w:rsidRPr="00000000">
        <w:rPr>
          <w:color w:val="000000"/>
          <w:sz w:val="18"/>
          <w:szCs w:val="18"/>
          <w:rtl w:val="0"/>
        </w:rPr>
        <w:t xml:space="preserve"> (obrázek </w:t>
      </w:r>
      <w:r w:rsidDel="00000000" w:rsidR="00000000" w:rsidRPr="00000000">
        <w:rPr>
          <w:sz w:val="18"/>
          <w:szCs w:val="18"/>
          <w:rtl w:val="0"/>
        </w:rPr>
        <w:t xml:space="preserve">7</w:t>
      </w:r>
      <w:r w:rsidDel="00000000" w:rsidR="00000000" w:rsidRPr="00000000">
        <w:rPr>
          <w:color w:val="000000"/>
          <w:sz w:val="18"/>
          <w:szCs w:val="18"/>
          <w:rtl w:val="0"/>
        </w:rPr>
        <w:t xml:space="preserve"> normy)</w:t>
      </w:r>
      <w:r w:rsidDel="00000000" w:rsidR="00000000" w:rsidRPr="00000000">
        <w:rPr>
          <w:rtl w:val="0"/>
        </w:rPr>
      </w:r>
    </w:p>
    <w:p w:rsidR="00000000" w:rsidDel="00000000" w:rsidP="00000000" w:rsidRDefault="00000000" w:rsidRPr="00000000" w14:paraId="00000045">
      <w:pPr>
        <w:keepNext w:val="1"/>
        <w:keepLines w:val="1"/>
        <w:pBdr>
          <w:top w:space="0" w:sz="0" w:val="nil"/>
          <w:left w:space="0" w:sz="0" w:val="nil"/>
          <w:bottom w:space="0" w:sz="0" w:val="nil"/>
          <w:right w:space="0" w:sz="0" w:val="nil"/>
          <w:between w:space="0" w:sz="0" w:val="nil"/>
        </w:pBdr>
        <w:spacing w:after="60" w:before="200" w:lineRule="auto"/>
        <w:ind w:left="0" w:hanging="2"/>
        <w:rPr>
          <w:b w:val="1"/>
          <w:color w:val="000000"/>
          <w:sz w:val="22"/>
          <w:szCs w:val="22"/>
        </w:rPr>
      </w:pPr>
      <w:r w:rsidDel="00000000" w:rsidR="00000000" w:rsidRPr="00000000">
        <w:rPr>
          <w:b w:val="1"/>
          <w:color w:val="000000"/>
          <w:sz w:val="22"/>
          <w:szCs w:val="22"/>
          <w:rtl w:val="0"/>
        </w:rPr>
        <w:t xml:space="preserve">7 Komponenty zprávy </w:t>
      </w:r>
      <w:r w:rsidDel="00000000" w:rsidR="00000000" w:rsidRPr="00000000">
        <w:rPr>
          <w:b w:val="1"/>
          <w:sz w:val="22"/>
          <w:szCs w:val="22"/>
          <w:rtl w:val="0"/>
        </w:rPr>
        <w:t xml:space="preserve">EMI</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ind w:left="0" w:hanging="2"/>
        <w:rPr>
          <w:color w:val="000000"/>
        </w:rPr>
      </w:pPr>
      <w:r w:rsidDel="00000000" w:rsidR="00000000" w:rsidRPr="00000000">
        <w:rPr>
          <w:color w:val="000000"/>
          <w:rtl w:val="0"/>
        </w:rPr>
        <w:t xml:space="preserve">Tato kapitola (rozsah 12 stran, obrázky a tabulky) </w:t>
      </w:r>
      <w:r w:rsidDel="00000000" w:rsidR="00000000" w:rsidRPr="00000000">
        <w:rPr>
          <w:rtl w:val="0"/>
        </w:rPr>
        <w:t xml:space="preserve">stanovuje pro zprávu EMI její základní strukturu a detailně popisuje její jednotlivé součásti: </w:t>
      </w:r>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0" w:lineRule="auto"/>
        <w:ind w:left="720" w:hanging="360"/>
        <w:rPr>
          <w:u w:val="none"/>
        </w:rPr>
      </w:pPr>
      <w:r w:rsidDel="00000000" w:rsidR="00000000" w:rsidRPr="00000000">
        <w:rPr>
          <w:rtl w:val="0"/>
        </w:rPr>
        <w:t xml:space="preserve">zpráva “EMIMessage” obsahující </w:t>
      </w:r>
      <w:r w:rsidDel="00000000" w:rsidR="00000000" w:rsidRPr="00000000">
        <w:rPr>
          <w:b w:val="1"/>
          <w:rtl w:val="0"/>
        </w:rPr>
        <w:t xml:space="preserve">ideálně rozděleně</w:t>
      </w:r>
      <w:r w:rsidDel="00000000" w:rsidR="00000000" w:rsidRPr="00000000">
        <w:rPr>
          <w:rtl w:val="0"/>
        </w:rPr>
        <w:t xml:space="preserve"> vysílané: </w:t>
      </w:r>
    </w:p>
    <w:p w:rsidR="00000000" w:rsidDel="00000000" w:rsidP="00000000" w:rsidRDefault="00000000" w:rsidRPr="00000000" w14:paraId="00000048">
      <w:pPr>
        <w:numPr>
          <w:ilvl w:val="1"/>
          <w:numId w:val="1"/>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rtl w:val="0"/>
        </w:rPr>
        <w:t xml:space="preserve">statické informace o parkovišti s nabíjecími stanicemi, obsahuje veškeré informace nutné pro popis polohy, typu nabíjecích stanic, včetně konektorů, provozovatelů, polohy parkoviště. Statická část je vysílána s výrazně nižší frekvencí než dynamická.</w:t>
      </w:r>
    </w:p>
    <w:p w:rsidR="00000000" w:rsidDel="00000000" w:rsidP="00000000" w:rsidRDefault="00000000" w:rsidRPr="00000000" w14:paraId="00000049">
      <w:pPr>
        <w:numPr>
          <w:ilvl w:val="1"/>
          <w:numId w:val="1"/>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rtl w:val="0"/>
        </w:rPr>
        <w:t xml:space="preserve">dynamické informace o </w:t>
      </w:r>
      <w:r w:rsidDel="00000000" w:rsidR="00000000" w:rsidRPr="00000000">
        <w:rPr>
          <w:rtl w:val="0"/>
        </w:rPr>
        <w:t xml:space="preserve">dostupnosti</w:t>
      </w:r>
      <w:r w:rsidDel="00000000" w:rsidR="00000000" w:rsidRPr="00000000">
        <w:rPr>
          <w:rtl w:val="0"/>
        </w:rPr>
        <w:t xml:space="preserve">, či doby čekání na jejich uvolnění, atp. </w:t>
      </w:r>
    </w:p>
    <w:p w:rsidR="00000000" w:rsidDel="00000000" w:rsidP="00000000" w:rsidRDefault="00000000" w:rsidRPr="00000000" w14:paraId="0000004A">
      <w:pPr>
        <w:numPr>
          <w:ilvl w:val="1"/>
          <w:numId w:val="1"/>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rtl w:val="0"/>
        </w:rPr>
        <w:t xml:space="preserve">informace o provedené rezervaci (ReservationResponse)</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zpráva “ReservationRequest”: žádost o rezervaci nabíjecí stanice / místa, konektoru podle parkoviště, polohy či identifikátoru zařízení.</w:t>
      </w:r>
    </w:p>
    <w:p w:rsidR="00000000" w:rsidDel="00000000" w:rsidP="00000000" w:rsidRDefault="00000000" w:rsidRPr="00000000" w14:paraId="0000004C">
      <w:pPr>
        <w:ind w:left="0" w:hanging="2"/>
        <w:rPr/>
      </w:pPr>
      <w:r w:rsidDel="00000000" w:rsidR="00000000" w:rsidRPr="00000000">
        <w:rPr>
          <w:rtl w:val="0"/>
        </w:rPr>
        <w:t xml:space="preserve">Jednotlivé články uvádějí části datových struktur.</w:t>
      </w:r>
    </w:p>
    <w:p w:rsidR="00000000" w:rsidDel="00000000" w:rsidP="00000000" w:rsidRDefault="00000000" w:rsidRPr="00000000" w14:paraId="0000004D">
      <w:pPr>
        <w:ind w:left="0" w:hanging="2"/>
        <w:rPr/>
      </w:pPr>
      <w:r w:rsidDel="00000000" w:rsidR="00000000" w:rsidRPr="00000000">
        <w:rPr>
          <w:rtl w:val="0"/>
        </w:rPr>
        <w:t xml:space="preserve">Parkoviště s nabíjecími stanicemi je popsáno vlastními metadaty dle struktury uvedené na obrázcích výše obsahující id parkoviště, id stanice, externí id stanice, typ konektoru, počet konektorů, polohu stanic na parkovišti, název parkoviště, polohu vjezdu a výjezdu, platební informace atp.</w:t>
      </w:r>
    </w:p>
    <w:p w:rsidR="00000000" w:rsidDel="00000000" w:rsidP="00000000" w:rsidRDefault="00000000" w:rsidRPr="00000000" w14:paraId="0000004E">
      <w:pPr>
        <w:ind w:left="0" w:hanging="2"/>
        <w:rPr/>
      </w:pPr>
      <w:r w:rsidDel="00000000" w:rsidR="00000000" w:rsidRPr="00000000">
        <w:rPr>
          <w:rtl w:val="0"/>
        </w:rPr>
        <w:t xml:space="preserve">Dostupnost parkovacích a nabíjecích míst (ChargingParkAvailabilityVector) je hierarchická struktura seskupující </w:t>
      </w:r>
      <w:r w:rsidDel="00000000" w:rsidR="00000000" w:rsidRPr="00000000">
        <w:rPr>
          <w:rtl w:val="0"/>
        </w:rPr>
        <w:t xml:space="preserve">více </w:t>
      </w:r>
      <w:r w:rsidDel="00000000" w:rsidR="00000000" w:rsidRPr="00000000">
        <w:rPr>
          <w:rtl w:val="0"/>
        </w:rPr>
        <w:t xml:space="preserve">parkovišť s nabíjecími stanicemi</w:t>
      </w:r>
      <w:r w:rsidDel="00000000" w:rsidR="00000000" w:rsidRPr="00000000">
        <w:rPr>
          <w:rtl w:val="0"/>
        </w:rPr>
        <w:t xml:space="preserve">, kdy pro každé parkoviště je uveden počet volných parkovacích míst a počet volných nabíjecích konektorů seskupených po nabíjecích stanicích</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4F">
      <w:pPr>
        <w:ind w:left="0" w:hanging="2"/>
        <w:rPr/>
      </w:pPr>
      <w:r w:rsidDel="00000000" w:rsidR="00000000" w:rsidRPr="00000000">
        <w:rPr>
          <w:rtl w:val="0"/>
        </w:rPr>
        <w:t xml:space="preserve">Žádost o rezervaci (ReservationRequest) je speciální typ zprávy, obsahující různé informace poptávané rezervaci, minimálně metodu platby a typ konektoru, volitelně další upřesňující informace k  parkovišti/</w:t>
      </w:r>
      <w:r w:rsidDel="00000000" w:rsidR="00000000" w:rsidRPr="00000000">
        <w:rPr>
          <w:u w:val="single"/>
          <w:rtl w:val="0"/>
        </w:rPr>
        <w:t xml:space="preserve">stanici </w:t>
      </w:r>
      <w:r w:rsidDel="00000000" w:rsidR="00000000" w:rsidRPr="00000000">
        <w:rPr>
          <w:rtl w:val="0"/>
        </w:rPr>
        <w:t xml:space="preserve">(polohou, id či externím id), k provozovateli, k vozidlu: identifikátor vozidla, omezení velikosti vozidla a odhadovaný čas příjezdu atp. </w:t>
      </w:r>
    </w:p>
    <w:p w:rsidR="00000000" w:rsidDel="00000000" w:rsidP="00000000" w:rsidRDefault="00000000" w:rsidRPr="00000000" w14:paraId="00000050">
      <w:pPr>
        <w:ind w:left="0" w:hanging="2"/>
        <w:rPr/>
      </w:pPr>
      <w:r w:rsidDel="00000000" w:rsidR="00000000" w:rsidRPr="00000000">
        <w:rPr>
          <w:rtl w:val="0"/>
        </w:rPr>
        <w:t xml:space="preserve">Zpráva o rezervaci (ReservationResponse) obsahuje informace o garantování rezervace, zejména čas rezervace, čas od kdy bude stanice dostupná, identifikaci stanice a volný text.</w:t>
      </w:r>
    </w:p>
    <w:p w:rsidR="00000000" w:rsidDel="00000000" w:rsidP="00000000" w:rsidRDefault="00000000" w:rsidRPr="00000000" w14:paraId="00000051">
      <w:pPr>
        <w:ind w:left="0" w:hanging="2"/>
        <w:rPr/>
      </w:pPr>
      <w:r w:rsidDel="00000000" w:rsidR="00000000" w:rsidRPr="00000000">
        <w:rPr>
          <w:rtl w:val="0"/>
        </w:rPr>
        <w:t xml:space="preserve">Popis polohy není specifikován.</w:t>
      </w:r>
    </w:p>
    <w:p w:rsidR="00000000" w:rsidDel="00000000" w:rsidP="00000000" w:rsidRDefault="00000000" w:rsidRPr="00000000" w14:paraId="00000052">
      <w:pPr>
        <w:keepNext w:val="1"/>
        <w:keepLines w:val="1"/>
        <w:pBdr>
          <w:top w:space="0" w:sz="0" w:val="nil"/>
          <w:left w:space="0" w:sz="0" w:val="nil"/>
          <w:bottom w:space="0" w:sz="0" w:val="nil"/>
          <w:right w:space="0" w:sz="0" w:val="nil"/>
          <w:between w:space="0" w:sz="0" w:val="nil"/>
        </w:pBdr>
        <w:spacing w:after="60" w:before="200" w:lineRule="auto"/>
        <w:ind w:left="0" w:hanging="2"/>
        <w:rPr>
          <w:b w:val="1"/>
          <w:color w:val="000000"/>
          <w:sz w:val="22"/>
          <w:szCs w:val="22"/>
        </w:rPr>
      </w:pPr>
      <w:r w:rsidDel="00000000" w:rsidR="00000000" w:rsidRPr="00000000">
        <w:rPr>
          <w:b w:val="1"/>
          <w:color w:val="000000"/>
          <w:sz w:val="22"/>
          <w:szCs w:val="22"/>
          <w:rtl w:val="0"/>
        </w:rPr>
        <w:t xml:space="preserve">8 Datové typy </w:t>
      </w:r>
      <w:r w:rsidDel="00000000" w:rsidR="00000000" w:rsidRPr="00000000">
        <w:rPr>
          <w:b w:val="1"/>
          <w:sz w:val="22"/>
          <w:szCs w:val="22"/>
          <w:rtl w:val="0"/>
        </w:rPr>
        <w:t xml:space="preserve">EMI</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0" w:hanging="2"/>
        <w:rPr>
          <w:color w:val="000000"/>
        </w:rPr>
      </w:pPr>
      <w:r w:rsidDel="00000000" w:rsidR="00000000" w:rsidRPr="00000000">
        <w:rPr>
          <w:color w:val="000000"/>
          <w:rtl w:val="0"/>
        </w:rPr>
        <w:t xml:space="preserve">Tato kapitola (rozsah </w:t>
      </w:r>
      <w:r w:rsidDel="00000000" w:rsidR="00000000" w:rsidRPr="00000000">
        <w:rPr>
          <w:rtl w:val="0"/>
        </w:rPr>
        <w:t xml:space="preserve">5</w:t>
      </w:r>
      <w:r w:rsidDel="00000000" w:rsidR="00000000" w:rsidRPr="00000000">
        <w:rPr>
          <w:color w:val="000000"/>
          <w:rtl w:val="0"/>
        </w:rPr>
        <w:t xml:space="preserve"> stran) obsahuje </w:t>
      </w:r>
      <w:r w:rsidDel="00000000" w:rsidR="00000000" w:rsidRPr="00000000">
        <w:rPr>
          <w:b w:val="1"/>
          <w:color w:val="000000"/>
          <w:rtl w:val="0"/>
        </w:rPr>
        <w:t xml:space="preserve">definice</w:t>
      </w:r>
      <w:r w:rsidDel="00000000" w:rsidR="00000000" w:rsidRPr="00000000">
        <w:rPr>
          <w:color w:val="000000"/>
          <w:rtl w:val="0"/>
        </w:rPr>
        <w:t xml:space="preserve"> použitých datových struktur (typů).  Na obrázku níže je, pro ilustraci obsahu a sloupců, uvedena část tabulky popisující datovou strukturu </w:t>
      </w:r>
      <w:r w:rsidDel="00000000" w:rsidR="00000000" w:rsidRPr="00000000">
        <w:rPr>
          <w:rtl w:val="0"/>
        </w:rPr>
        <w:t xml:space="preserve">PricingInformation</w:t>
      </w:r>
      <w:r w:rsidDel="00000000" w:rsidR="00000000" w:rsidRPr="00000000">
        <w:rPr>
          <w:color w:val="000000"/>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Rule="auto"/>
        <w:ind w:left="0" w:hanging="2"/>
        <w:rPr>
          <w:color w:val="000000"/>
        </w:rPr>
      </w:pPr>
      <w:bookmarkStart w:colFirst="0" w:colLast="0" w:name="_heading=h.3rdcrjn" w:id="17"/>
      <w:bookmarkEnd w:id="17"/>
      <w:r w:rsidDel="00000000" w:rsidR="00000000" w:rsidRPr="00000000">
        <w:rPr/>
        <w:drawing>
          <wp:inline distB="114300" distT="114300" distL="114300" distR="114300">
            <wp:extent cx="5760410" cy="1968500"/>
            <wp:effectExtent b="0" l="0" r="0" t="0"/>
            <wp:docPr id="104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6041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200" w:lineRule="auto"/>
        <w:ind w:left="0" w:hanging="2"/>
        <w:jc w:val="center"/>
        <w:rPr>
          <w:color w:val="000000"/>
          <w:sz w:val="18"/>
          <w:szCs w:val="18"/>
        </w:rPr>
      </w:pPr>
      <w:r w:rsidDel="00000000" w:rsidR="00000000" w:rsidRPr="00000000">
        <w:rPr>
          <w:color w:val="000000"/>
          <w:sz w:val="18"/>
          <w:szCs w:val="18"/>
          <w:rtl w:val="0"/>
        </w:rPr>
        <w:t xml:space="preserve">Obrázek 3 - Ukázka části struktury </w:t>
      </w:r>
      <w:r w:rsidDel="00000000" w:rsidR="00000000" w:rsidRPr="00000000">
        <w:rPr>
          <w:sz w:val="18"/>
          <w:szCs w:val="18"/>
          <w:rtl w:val="0"/>
        </w:rPr>
        <w:t xml:space="preserve">PricingInformation </w:t>
      </w:r>
      <w:r w:rsidDel="00000000" w:rsidR="00000000" w:rsidRPr="00000000">
        <w:rPr>
          <w:color w:val="000000"/>
          <w:sz w:val="18"/>
          <w:szCs w:val="18"/>
          <w:rtl w:val="0"/>
        </w:rPr>
        <w:t xml:space="preserve">(tabulk</w:t>
      </w:r>
      <w:r w:rsidDel="00000000" w:rsidR="00000000" w:rsidRPr="00000000">
        <w:rPr>
          <w:sz w:val="18"/>
          <w:szCs w:val="18"/>
          <w:rtl w:val="0"/>
        </w:rPr>
        <w:t xml:space="preserve">a</w:t>
      </w:r>
      <w:r w:rsidDel="00000000" w:rsidR="00000000" w:rsidRPr="00000000">
        <w:rPr>
          <w:color w:val="000000"/>
          <w:sz w:val="18"/>
          <w:szCs w:val="18"/>
          <w:rtl w:val="0"/>
        </w:rPr>
        <w:t xml:space="preserve"> 18 normy)</w:t>
      </w:r>
    </w:p>
    <w:p w:rsidR="00000000" w:rsidDel="00000000" w:rsidP="00000000" w:rsidRDefault="00000000" w:rsidRPr="00000000" w14:paraId="00000056">
      <w:pPr>
        <w:pBdr>
          <w:top w:space="0" w:sz="0" w:val="nil"/>
          <w:left w:space="0" w:sz="0" w:val="nil"/>
          <w:bottom w:space="0" w:sz="0" w:val="nil"/>
          <w:right w:space="0" w:sz="0" w:val="nil"/>
          <w:between w:space="0" w:sz="0" w:val="nil"/>
        </w:pBdr>
        <w:ind w:left="0" w:hanging="2"/>
        <w:rPr>
          <w:color w:val="000000"/>
        </w:rPr>
      </w:pPr>
      <w:r w:rsidDel="00000000" w:rsidR="00000000" w:rsidRPr="00000000">
        <w:rPr>
          <w:color w:val="000000"/>
          <w:rtl w:val="0"/>
        </w:rPr>
        <w:t xml:space="preserve">Struktury se skládají ze složitých či jednoduchých datových objektů, výskyt každé položky datové struktury (</w:t>
      </w:r>
      <w:r w:rsidDel="00000000" w:rsidR="00000000" w:rsidRPr="00000000">
        <w:rPr>
          <w:rtl w:val="0"/>
        </w:rPr>
        <w:t xml:space="preserve">tj.</w:t>
      </w:r>
      <w:r w:rsidDel="00000000" w:rsidR="00000000" w:rsidRPr="00000000">
        <w:rPr>
          <w:color w:val="000000"/>
          <w:rtl w:val="0"/>
        </w:rPr>
        <w:t xml:space="preserve"> její multiplicita) je doplněn datovým typem a popisem. Tabulka níže uvádí datové struktury stanovené v této kapitole.</w:t>
      </w:r>
    </w:p>
    <w:p w:rsidR="00000000" w:rsidDel="00000000" w:rsidP="00000000" w:rsidRDefault="00000000" w:rsidRPr="00000000" w14:paraId="00000057">
      <w:pPr>
        <w:keepNext w:val="1"/>
        <w:pBdr>
          <w:top w:space="0" w:sz="0" w:val="nil"/>
          <w:left w:space="0" w:sz="0" w:val="nil"/>
          <w:bottom w:space="0" w:sz="0" w:val="nil"/>
          <w:right w:space="0" w:sz="0" w:val="nil"/>
          <w:between w:space="0" w:sz="0" w:val="nil"/>
        </w:pBdr>
        <w:spacing w:after="0" w:before="200" w:lineRule="auto"/>
        <w:ind w:left="0" w:hanging="2"/>
        <w:jc w:val="center"/>
        <w:rPr/>
      </w:pPr>
      <w:bookmarkStart w:colFirst="0" w:colLast="0" w:name="_heading=h.26in1rg" w:id="18"/>
      <w:bookmarkEnd w:id="18"/>
      <w:r w:rsidDel="00000000" w:rsidR="00000000" w:rsidRPr="00000000">
        <w:rPr>
          <w:sz w:val="18"/>
          <w:szCs w:val="18"/>
          <w:rtl w:val="0"/>
        </w:rPr>
        <w:t xml:space="preserve">Tabulka 1 - Seznam stanovených datových typů (zdroj: autor extraktu)</w:t>
      </w:r>
      <w:r w:rsidDel="00000000" w:rsidR="00000000" w:rsidRPr="00000000">
        <w:rPr>
          <w:rtl w:val="0"/>
        </w:rPr>
      </w:r>
    </w:p>
    <w:tbl>
      <w:tblPr>
        <w:tblStyle w:val="Table2"/>
        <w:tblW w:w="903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105"/>
        <w:tblGridChange w:id="0">
          <w:tblGrid>
            <w:gridCol w:w="2925"/>
            <w:gridCol w:w="6105"/>
          </w:tblGrid>
        </w:tblGridChange>
      </w:tblGrid>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Rule="auto"/>
              <w:ind w:left="0" w:hanging="2"/>
              <w:rPr>
                <w:b w:val="1"/>
              </w:rPr>
            </w:pPr>
            <w:r w:rsidDel="00000000" w:rsidR="00000000" w:rsidRPr="00000000">
              <w:rPr>
                <w:b w:val="1"/>
                <w:rtl w:val="0"/>
              </w:rPr>
              <w:t xml:space="preserve">Datový typ EMI</w:t>
            </w:r>
          </w:p>
        </w:tc>
        <w:tc>
          <w:tcPr>
            <w:shd w:fill="auto" w:val="clear"/>
            <w:tcMar>
              <w:top w:w="0.0" w:type="dxa"/>
              <w:left w:w="0.0" w:type="dxa"/>
              <w:bottom w:w="0.0" w:type="dxa"/>
              <w:right w:w="0.0" w:type="dxa"/>
            </w:tcMar>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Rule="auto"/>
              <w:ind w:left="0" w:hanging="2"/>
              <w:rPr>
                <w:b w:val="1"/>
              </w:rPr>
            </w:pPr>
            <w:r w:rsidDel="00000000" w:rsidR="00000000" w:rsidRPr="00000000">
              <w:rPr>
                <w:b w:val="1"/>
                <w:rtl w:val="0"/>
              </w:rPr>
              <w:t xml:space="preserve">popis</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t xml:space="preserve">ChargingParkAvailability</w:t>
            </w:r>
          </w:p>
        </w:tc>
        <w:tc>
          <w:tcPr>
            <w:shd w:fill="auto" w:val="clear"/>
            <w:tcMar>
              <w:top w:w="0.0" w:type="dxa"/>
              <w:left w:w="0.0" w:type="dxa"/>
              <w:bottom w:w="0.0" w:type="dxa"/>
              <w:right w:w="0.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t xml:space="preserve">dostupnost stanic na daném </w:t>
            </w:r>
            <w:r w:rsidDel="00000000" w:rsidR="00000000" w:rsidRPr="00000000">
              <w:rPr>
                <w:rtl w:val="0"/>
              </w:rPr>
              <w:t xml:space="preserve">parkovišti s nabíjecími stanicemi</w:t>
            </w:r>
            <w:r w:rsidDel="00000000" w:rsidR="00000000" w:rsidRPr="00000000">
              <w:rPr>
                <w:rtl w:val="0"/>
              </w:rPr>
              <w:t xml:space="preserve">  (daná strukturou o řádek níže)</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t xml:space="preserve">ChargingStationAvailability</w:t>
            </w:r>
          </w:p>
        </w:tc>
        <w:tc>
          <w:tcPr>
            <w:shd w:fill="auto" w:val="clear"/>
            <w:tcMar>
              <w:top w:w="0.0" w:type="dxa"/>
              <w:left w:w="0.0" w:type="dxa"/>
              <w:bottom w:w="0.0" w:type="dxa"/>
              <w:right w:w="0.0" w:type="dxa"/>
            </w:tcMar>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t xml:space="preserve">dostupnost nabíjecí stanice a jednotlivých typů nabíjecích </w:t>
            </w:r>
            <w:r w:rsidDel="00000000" w:rsidR="00000000" w:rsidRPr="00000000">
              <w:rPr>
                <w:u w:val="single"/>
                <w:rtl w:val="0"/>
              </w:rPr>
              <w:t xml:space="preserve">konektorů</w:t>
            </w:r>
            <w:r w:rsidDel="00000000" w:rsidR="00000000" w:rsidRPr="00000000">
              <w:rPr>
                <w:rtl w:val="0"/>
              </w:rPr>
              <w:t xml:space="preserve"> na dané stanici (dané strukturou o řádek níže)</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t xml:space="preserve">FreePlacesForConnectorType</w:t>
            </w:r>
          </w:p>
        </w:tc>
        <w:tc>
          <w:tcPr>
            <w:shd w:fill="auto" w:val="clear"/>
            <w:tcMar>
              <w:top w:w="0.0" w:type="dxa"/>
              <w:left w:w="0.0" w:type="dxa"/>
              <w:bottom w:w="0.0" w:type="dxa"/>
              <w:right w:w="0.0" w:type="dxa"/>
            </w:tcMar>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t xml:space="preserve">počet neobsazených konektorů na nabíjecí stanici pro připojení vozidla podle typu konektoru, součet přes všechna neobsazená nabíjecí místa na dané stanici</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t xml:space="preserve">ChargingParkSiteDescription</w:t>
            </w:r>
          </w:p>
        </w:tc>
        <w:tc>
          <w:tcPr>
            <w:shd w:fill="auto" w:val="clear"/>
            <w:tcMar>
              <w:top w:w="0.0" w:type="dxa"/>
              <w:left w:w="0.0" w:type="dxa"/>
              <w:bottom w:w="0.0" w:type="dxa"/>
              <w:right w:w="0.0" w:type="dxa"/>
            </w:tcMa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t xml:space="preserve">popis </w:t>
            </w:r>
            <w:r w:rsidDel="00000000" w:rsidR="00000000" w:rsidRPr="00000000">
              <w:rPr>
                <w:rtl w:val="0"/>
              </w:rPr>
              <w:t xml:space="preserve">parkoviště s nabíjecími stanicemi</w:t>
            </w:r>
            <w:r w:rsidDel="00000000" w:rsidR="00000000" w:rsidRPr="00000000">
              <w:rPr>
                <w:rtl w:val="0"/>
              </w:rPr>
              <w:t xml:space="preserve">, název, adresa, logo, provozovatel, otevírací doba, další služby atp.</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t xml:space="preserve">Logo</w:t>
            </w:r>
          </w:p>
        </w:tc>
        <w:tc>
          <w:tcPr>
            <w:shd w:fill="auto" w:val="clear"/>
            <w:tcMar>
              <w:top w:w="0.0" w:type="dxa"/>
              <w:left w:w="0.0" w:type="dxa"/>
              <w:bottom w:w="0.0" w:type="dxa"/>
              <w:right w:w="0.0" w:type="dxa"/>
            </w:tcMa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t xml:space="preserve">obrázek (logo)</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t xml:space="preserve">OperatorContactInformation</w:t>
            </w:r>
          </w:p>
        </w:tc>
        <w:tc>
          <w:tcPr>
            <w:shd w:fill="auto" w:val="clear"/>
            <w:tcMar>
              <w:top w:w="0.0" w:type="dxa"/>
              <w:left w:w="0.0" w:type="dxa"/>
              <w:bottom w:w="0.0" w:type="dxa"/>
              <w:right w:w="0.0" w:type="dxa"/>
            </w:tcMa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t xml:space="preserve">kontakt na provozovatele</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t xml:space="preserve">SizeRestrictions</w:t>
            </w:r>
          </w:p>
        </w:tc>
        <w:tc>
          <w:tcPr>
            <w:shd w:fill="auto" w:val="clear"/>
            <w:tcMar>
              <w:top w:w="0.0" w:type="dxa"/>
              <w:left w:w="0.0" w:type="dxa"/>
              <w:bottom w:w="0.0" w:type="dxa"/>
              <w:right w:w="0.0" w:type="dxa"/>
            </w:tcMa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t xml:space="preserve">maximální délka, šířka, výška a váha vozidla a délka kabelu</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t xml:space="preserve">PricingInformation</w:t>
            </w:r>
          </w:p>
        </w:tc>
        <w:tc>
          <w:tcPr>
            <w:shd w:fill="auto" w:val="clear"/>
            <w:tcMar>
              <w:top w:w="0.0" w:type="dxa"/>
              <w:left w:w="0.0" w:type="dxa"/>
              <w:bottom w:w="0.0" w:type="dxa"/>
              <w:right w:w="0.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t xml:space="preserve">Informace o platebním modelu a metodách </w:t>
            </w:r>
          </w:p>
        </w:tc>
      </w:tr>
    </w:tbl>
    <w:p w:rsidR="00000000" w:rsidDel="00000000" w:rsidP="00000000" w:rsidRDefault="00000000" w:rsidRPr="00000000" w14:paraId="0000006A">
      <w:pPr>
        <w:keepNext w:val="1"/>
        <w:keepLines w:val="1"/>
        <w:pBdr>
          <w:top w:space="0" w:sz="0" w:val="nil"/>
          <w:left w:space="0" w:sz="0" w:val="nil"/>
          <w:bottom w:space="0" w:sz="0" w:val="nil"/>
          <w:right w:space="0" w:sz="0" w:val="nil"/>
          <w:between w:space="0" w:sz="0" w:val="nil"/>
        </w:pBdr>
        <w:spacing w:after="60" w:before="200" w:lineRule="auto"/>
        <w:ind w:left="0" w:hanging="2"/>
        <w:rPr>
          <w:b w:val="1"/>
          <w:color w:val="000000"/>
          <w:sz w:val="22"/>
          <w:szCs w:val="22"/>
        </w:rPr>
      </w:pPr>
      <w:bookmarkStart w:colFirst="0" w:colLast="0" w:name="_heading=h.lnxbz9" w:id="19"/>
      <w:bookmarkEnd w:id="19"/>
      <w:r w:rsidDel="00000000" w:rsidR="00000000" w:rsidRPr="00000000">
        <w:rPr>
          <w:b w:val="1"/>
          <w:color w:val="000000"/>
          <w:sz w:val="22"/>
          <w:szCs w:val="22"/>
          <w:rtl w:val="0"/>
        </w:rPr>
        <w:t xml:space="preserve">9 Tabulky </w:t>
      </w:r>
      <w:r w:rsidDel="00000000" w:rsidR="00000000" w:rsidRPr="00000000">
        <w:rPr>
          <w:b w:val="1"/>
          <w:sz w:val="22"/>
          <w:szCs w:val="22"/>
          <w:rtl w:val="0"/>
        </w:rPr>
        <w:t xml:space="preserve">EMI</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0" w:hanging="2"/>
        <w:rPr>
          <w:color w:val="000000"/>
        </w:rPr>
      </w:pPr>
      <w:r w:rsidDel="00000000" w:rsidR="00000000" w:rsidRPr="00000000">
        <w:rPr>
          <w:color w:val="000000"/>
          <w:rtl w:val="0"/>
        </w:rPr>
        <w:t xml:space="preserve">Tato kapitola (rozsah </w:t>
      </w:r>
      <w:r w:rsidDel="00000000" w:rsidR="00000000" w:rsidRPr="00000000">
        <w:rPr>
          <w:rtl w:val="0"/>
        </w:rPr>
        <w:t xml:space="preserve">7</w:t>
      </w:r>
      <w:r w:rsidDel="00000000" w:rsidR="00000000" w:rsidRPr="00000000">
        <w:rPr>
          <w:color w:val="000000"/>
          <w:rtl w:val="0"/>
        </w:rPr>
        <w:t xml:space="preserve"> stran) obsahuje definice výčtových typů aplikace </w:t>
      </w:r>
      <w:r w:rsidDel="00000000" w:rsidR="00000000" w:rsidRPr="00000000">
        <w:rPr>
          <w:rtl w:val="0"/>
        </w:rPr>
        <w:t xml:space="preserve">EMI</w:t>
      </w:r>
      <w:r w:rsidDel="00000000" w:rsidR="00000000" w:rsidRPr="00000000">
        <w:rPr>
          <w:color w:val="000000"/>
          <w:rtl w:val="0"/>
        </w:rPr>
        <w:t xml:space="preserve"> (v </w:t>
      </w:r>
      <w:r w:rsidDel="00000000" w:rsidR="00000000" w:rsidRPr="00000000">
        <w:rPr>
          <w:rtl w:val="0"/>
        </w:rPr>
        <w:t xml:space="preserve">11</w:t>
      </w:r>
      <w:r w:rsidDel="00000000" w:rsidR="00000000" w:rsidRPr="00000000">
        <w:rPr>
          <w:color w:val="000000"/>
          <w:rtl w:val="0"/>
        </w:rPr>
        <w:t xml:space="preserve"> tabulkách).  Následující tabulka jmenovitě uvádí jednotlivé tabulky a doplňuje je popisem a příkladem obsahu.</w:t>
      </w:r>
    </w:p>
    <w:p w:rsidR="00000000" w:rsidDel="00000000" w:rsidP="00000000" w:rsidRDefault="00000000" w:rsidRPr="00000000" w14:paraId="0000006C">
      <w:pPr>
        <w:keepNext w:val="1"/>
        <w:keepLines w:val="1"/>
        <w:pBdr>
          <w:top w:space="0" w:sz="0" w:val="nil"/>
          <w:left w:space="0" w:sz="0" w:val="nil"/>
          <w:bottom w:space="0" w:sz="0" w:val="nil"/>
          <w:right w:space="0" w:sz="0" w:val="nil"/>
          <w:between w:space="0" w:sz="0" w:val="nil"/>
        </w:pBdr>
        <w:spacing w:after="0" w:before="200" w:lineRule="auto"/>
        <w:ind w:left="0" w:hanging="2"/>
        <w:jc w:val="center"/>
        <w:rPr>
          <w:sz w:val="18"/>
          <w:szCs w:val="18"/>
        </w:rPr>
      </w:pPr>
      <w:bookmarkStart w:colFirst="0" w:colLast="0" w:name="_heading=h.iykewot5vw7m" w:id="20"/>
      <w:bookmarkEnd w:id="20"/>
      <w:r w:rsidDel="00000000" w:rsidR="00000000" w:rsidRPr="00000000">
        <w:rPr>
          <w:sz w:val="18"/>
          <w:szCs w:val="18"/>
          <w:rtl w:val="0"/>
        </w:rPr>
        <w:t xml:space="preserve">Tabulka 2 - Seznam tabulek EMI (výčtů hodnot) (zdroj: autor extraktu)</w:t>
      </w:r>
    </w:p>
    <w:tbl>
      <w:tblPr>
        <w:tblStyle w:val="Table3"/>
        <w:tblW w:w="9061.0" w:type="dxa"/>
        <w:jc w:val="left"/>
        <w:tblInd w:w="131.0" w:type="dxa"/>
        <w:tblLayout w:type="fixed"/>
        <w:tblLook w:val="0000"/>
      </w:tblPr>
      <w:tblGrid>
        <w:gridCol w:w="3075"/>
        <w:gridCol w:w="3135"/>
        <w:gridCol w:w="2851"/>
        <w:tblGridChange w:id="0">
          <w:tblGrid>
            <w:gridCol w:w="3075"/>
            <w:gridCol w:w="3135"/>
            <w:gridCol w:w="285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b w:val="1"/>
                <w:color w:val="000000"/>
                <w:rtl w:val="0"/>
              </w:rPr>
              <w:t xml:space="preserve">Tabulka </w:t>
            </w:r>
            <w:r w:rsidDel="00000000" w:rsidR="00000000" w:rsidRPr="00000000">
              <w:rPr>
                <w:b w:val="1"/>
                <w:rtl w:val="0"/>
              </w:rPr>
              <w:t xml:space="preserve">EMI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b w:val="1"/>
                <w:color w:val="000000"/>
                <w:rtl w:val="0"/>
              </w:rPr>
              <w:t xml:space="preserve">Popis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b w:val="1"/>
                <w:color w:val="000000"/>
                <w:rtl w:val="0"/>
              </w:rPr>
              <w:t xml:space="preserve">Obsah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t xml:space="preserve">emi001:BillingModel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rtl w:val="0"/>
              </w:rPr>
              <w:t xml:space="preserve">Výčet typů platebních modelů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rtl w:val="0"/>
              </w:rPr>
              <w:t xml:space="preserve">Př.: 002: price per hour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t xml:space="preserve">emi002:ConnectorType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rtl w:val="0"/>
              </w:rPr>
              <w:t xml:space="preserve">Výčet typů konektorů (33)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rtl w:val="0"/>
              </w:rPr>
              <w:t xml:space="preserve">Př.: 017: NEMA 6-20, 240V, 20A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t xml:space="preserve">emi003:Qualifier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rtl w:val="0"/>
              </w:rPr>
              <w:t xml:space="preserve">Výčet typů kvalifikátoru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rtl w:val="0"/>
              </w:rPr>
              <w:t xml:space="preserve">Př.: 003: approximately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rtl w:val="0"/>
              </w:rPr>
              <w:t xml:space="preserve">emi004:PaymentMethodType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color w:val="000000"/>
                <w:rtl w:val="0"/>
              </w:rPr>
              <w:t xml:space="preserve">Výčet </w:t>
            </w:r>
            <w:r w:rsidDel="00000000" w:rsidR="00000000" w:rsidRPr="00000000">
              <w:rPr>
                <w:rtl w:val="0"/>
              </w:rPr>
              <w:t xml:space="preserve">typů platebních metod</w:t>
            </w:r>
            <w:r w:rsidDel="00000000" w:rsidR="00000000" w:rsidRPr="00000000">
              <w:rPr>
                <w:color w:val="00000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color w:val="000000"/>
                <w:rtl w:val="0"/>
              </w:rPr>
              <w:t xml:space="preserve">př.:008:</w:t>
            </w:r>
            <w:r w:rsidDel="00000000" w:rsidR="00000000" w:rsidRPr="00000000">
              <w:rPr>
                <w:rtl w:val="0"/>
              </w:rPr>
              <w:t xml:space="preserve">prepaid card</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rtl w:val="0"/>
              </w:rPr>
              <w:t xml:space="preserve">emi005:FacilityType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color w:val="000000"/>
                <w:rtl w:val="0"/>
              </w:rPr>
              <w:t xml:space="preserve">Výčet </w:t>
            </w:r>
            <w:r w:rsidDel="00000000" w:rsidR="00000000" w:rsidRPr="00000000">
              <w:rPr>
                <w:rtl w:val="0"/>
              </w:rPr>
              <w:t xml:space="preserve">typů parkovišť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color w:val="000000"/>
                <w:rtl w:val="0"/>
              </w:rPr>
              <w:t xml:space="preserve">Př.: 003: </w:t>
            </w:r>
            <w:r w:rsidDel="00000000" w:rsidR="00000000" w:rsidRPr="00000000">
              <w:rPr>
                <w:rtl w:val="0"/>
              </w:rPr>
              <w:t xml:space="preserve">private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rtl w:val="0"/>
              </w:rPr>
              <w:t xml:space="preserve">emi006:AssociatedServiceType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color w:val="000000"/>
                <w:rtl w:val="0"/>
              </w:rPr>
              <w:t xml:space="preserve">Výčet </w:t>
            </w:r>
            <w:r w:rsidDel="00000000" w:rsidR="00000000" w:rsidRPr="00000000">
              <w:rPr>
                <w:rtl w:val="0"/>
              </w:rPr>
              <w:t xml:space="preserve">typů přidružených služeb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color w:val="000000"/>
                <w:rtl w:val="0"/>
              </w:rPr>
              <w:t xml:space="preserve">Př.: 0</w:t>
            </w:r>
            <w:r w:rsidDel="00000000" w:rsidR="00000000" w:rsidRPr="00000000">
              <w:rPr>
                <w:rtl w:val="0"/>
              </w:rPr>
              <w:t xml:space="preserve">05</w:t>
            </w:r>
            <w:r w:rsidDel="00000000" w:rsidR="00000000" w:rsidRPr="00000000">
              <w:rPr>
                <w:color w:val="000000"/>
                <w:rtl w:val="0"/>
              </w:rPr>
              <w:t xml:space="preserve">: hotel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rtl w:val="0"/>
              </w:rPr>
              <w:t xml:space="preserve">emi007:UserType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color w:val="000000"/>
                <w:rtl w:val="0"/>
              </w:rPr>
              <w:t xml:space="preserve">Výčet typů </w:t>
            </w:r>
            <w:r w:rsidDel="00000000" w:rsidR="00000000" w:rsidRPr="00000000">
              <w:rPr>
                <w:rtl w:val="0"/>
              </w:rPr>
              <w:t xml:space="preserve">uživatelů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rtl w:val="0"/>
              </w:rPr>
              <w:t xml:space="preserve">Př.: 007: employees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rtl w:val="0"/>
              </w:rPr>
              <w:t xml:space="preserve">emi008:StationType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color w:val="000000"/>
                <w:rtl w:val="0"/>
              </w:rPr>
              <w:t xml:space="preserve">Výčet </w:t>
            </w:r>
            <w:r w:rsidDel="00000000" w:rsidR="00000000" w:rsidRPr="00000000">
              <w:rPr>
                <w:rtl w:val="0"/>
              </w:rPr>
              <w:t xml:space="preserve">typů stanic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color w:val="000000"/>
                <w:rtl w:val="0"/>
              </w:rPr>
              <w:t xml:space="preserve">Př.: 00</w:t>
            </w:r>
            <w:r w:rsidDel="00000000" w:rsidR="00000000" w:rsidRPr="00000000">
              <w:rPr>
                <w:rtl w:val="0"/>
              </w:rPr>
              <w:t xml:space="preserve">3</w:t>
            </w:r>
            <w:r w:rsidDel="00000000" w:rsidR="00000000" w:rsidRPr="00000000">
              <w:rPr>
                <w:color w:val="000000"/>
                <w:rtl w:val="0"/>
              </w:rPr>
              <w:t xml:space="preserve">: </w:t>
            </w:r>
            <w:r w:rsidDel="00000000" w:rsidR="00000000" w:rsidRPr="00000000">
              <w:rPr>
                <w:rtl w:val="0"/>
              </w:rPr>
              <w:t xml:space="preserve">charge&amp;park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rtl w:val="0"/>
              </w:rPr>
              <w:t xml:space="preserve">emi009:VehicleType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color w:val="000000"/>
                <w:rtl w:val="0"/>
              </w:rPr>
              <w:t xml:space="preserve">Výčet </w:t>
            </w:r>
            <w:r w:rsidDel="00000000" w:rsidR="00000000" w:rsidRPr="00000000">
              <w:rPr>
                <w:rtl w:val="0"/>
              </w:rPr>
              <w:t xml:space="preserve">typů vozidel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color w:val="000000"/>
                <w:rtl w:val="0"/>
              </w:rPr>
              <w:t xml:space="preserve">Př.: 00</w:t>
            </w:r>
            <w:r w:rsidDel="00000000" w:rsidR="00000000" w:rsidRPr="00000000">
              <w:rPr>
                <w:rtl w:val="0"/>
              </w:rPr>
              <w:t xml:space="preserve">7</w:t>
            </w:r>
            <w:r w:rsidDel="00000000" w:rsidR="00000000" w:rsidRPr="00000000">
              <w:rPr>
                <w:color w:val="000000"/>
                <w:rtl w:val="0"/>
              </w:rPr>
              <w:t xml:space="preserve">:</w:t>
            </w:r>
            <w:r w:rsidDel="00000000" w:rsidR="00000000" w:rsidRPr="00000000">
              <w:rPr>
                <w:rtl w:val="0"/>
              </w:rPr>
              <w:t xml:space="preserve">paddleboat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rtl w:val="0"/>
              </w:rPr>
              <w:t xml:space="preserve">emi010:Reservability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color w:val="000000"/>
                <w:rtl w:val="0"/>
              </w:rPr>
              <w:t xml:space="preserve">Výčet typů </w:t>
            </w:r>
            <w:r w:rsidDel="00000000" w:rsidR="00000000" w:rsidRPr="00000000">
              <w:rPr>
                <w:rtl w:val="0"/>
              </w:rPr>
              <w:t xml:space="preserve">“možnosti rezervace”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color w:val="000000"/>
                <w:rtl w:val="0"/>
              </w:rPr>
              <w:t xml:space="preserve">Př.: 003:</w:t>
            </w:r>
            <w:r w:rsidDel="00000000" w:rsidR="00000000" w:rsidRPr="00000000">
              <w:rPr>
                <w:rtl w:val="0"/>
              </w:rPr>
              <w:t xml:space="preserve">not reservable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rtl w:val="0"/>
              </w:rPr>
              <w:t xml:space="preserve">emi011:ContactType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color w:val="000000"/>
                <w:rtl w:val="0"/>
              </w:rPr>
              <w:t xml:space="preserve">Výčet </w:t>
            </w:r>
            <w:r w:rsidDel="00000000" w:rsidR="00000000" w:rsidRPr="00000000">
              <w:rPr>
                <w:rtl w:val="0"/>
              </w:rPr>
              <w:t xml:space="preserve">typů kontaktních informací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color w:val="000000"/>
                <w:rtl w:val="0"/>
              </w:rPr>
              <w:t xml:space="preserve">Př: 005:</w:t>
            </w:r>
            <w:r w:rsidDel="00000000" w:rsidR="00000000" w:rsidRPr="00000000">
              <w:rPr>
                <w:rtl w:val="0"/>
              </w:rPr>
              <w:t xml:space="preserve">priority telephone</w:t>
            </w:r>
            <w:r w:rsidDel="00000000" w:rsidR="00000000" w:rsidRPr="00000000">
              <w:rPr>
                <w:rtl w:val="0"/>
              </w:rPr>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pacing w:before="200" w:lineRule="auto"/>
        <w:ind w:left="0" w:hanging="2"/>
        <w:rPr>
          <w:color w:val="000000"/>
        </w:rPr>
      </w:pPr>
      <w:r w:rsidDel="00000000" w:rsidR="00000000" w:rsidRPr="00000000">
        <w:rPr>
          <w:color w:val="000000"/>
          <w:rtl w:val="0"/>
        </w:rPr>
        <w:t xml:space="preserve">Následující tabulka obsahuje ukázku tabulky „</w:t>
      </w:r>
      <w:r w:rsidDel="00000000" w:rsidR="00000000" w:rsidRPr="00000000">
        <w:rPr>
          <w:rtl w:val="0"/>
        </w:rPr>
        <w:t xml:space="preserve">emi002:ConnectorType</w:t>
      </w:r>
      <w:r w:rsidDel="00000000" w:rsidR="00000000" w:rsidRPr="00000000">
        <w:rPr>
          <w:color w:val="000000"/>
          <w:rtl w:val="0"/>
        </w:rPr>
        <w:t xml:space="preserve">” z popisovaného dokumentu.</w:t>
      </w:r>
    </w:p>
    <w:p w:rsidR="00000000" w:rsidDel="00000000" w:rsidP="00000000" w:rsidRDefault="00000000" w:rsidRPr="00000000" w14:paraId="00000092">
      <w:pPr>
        <w:keepNext w:val="1"/>
        <w:keepLines w:val="1"/>
        <w:pBdr>
          <w:top w:space="0" w:sz="0" w:val="nil"/>
          <w:left w:space="0" w:sz="0" w:val="nil"/>
          <w:bottom w:space="0" w:sz="0" w:val="nil"/>
          <w:right w:space="0" w:sz="0" w:val="nil"/>
          <w:between w:space="0" w:sz="0" w:val="nil"/>
        </w:pBdr>
        <w:spacing w:after="0" w:before="200" w:lineRule="auto"/>
        <w:ind w:left="0" w:hanging="2"/>
        <w:jc w:val="center"/>
        <w:rPr>
          <w:color w:val="000000"/>
          <w:sz w:val="18"/>
          <w:szCs w:val="18"/>
        </w:rPr>
      </w:pPr>
      <w:bookmarkStart w:colFirst="0" w:colLast="0" w:name="_heading=h.wpo5mx1gy36r" w:id="21"/>
      <w:bookmarkEnd w:id="21"/>
      <w:r w:rsidDel="00000000" w:rsidR="00000000" w:rsidRPr="00000000">
        <w:rPr>
          <w:color w:val="000000"/>
          <w:sz w:val="18"/>
          <w:szCs w:val="18"/>
          <w:rtl w:val="0"/>
        </w:rPr>
        <w:t xml:space="preserve">Tabulka 3 -</w:t>
      </w:r>
      <w:r w:rsidDel="00000000" w:rsidR="00000000" w:rsidRPr="00000000">
        <w:rPr>
          <w:b w:val="1"/>
          <w:sz w:val="22"/>
          <w:szCs w:val="22"/>
          <w:rtl w:val="0"/>
        </w:rPr>
        <w:t xml:space="preserve"> </w:t>
      </w:r>
      <w:r w:rsidDel="00000000" w:rsidR="00000000" w:rsidRPr="00000000">
        <w:rPr>
          <w:color w:val="000000"/>
          <w:sz w:val="18"/>
          <w:szCs w:val="18"/>
          <w:rtl w:val="0"/>
        </w:rPr>
        <w:t xml:space="preserve">Příklad části definice výčtového typu konektoru </w:t>
      </w:r>
      <w:r w:rsidDel="00000000" w:rsidR="00000000" w:rsidRPr="00000000">
        <w:rPr>
          <w:sz w:val="18"/>
          <w:szCs w:val="18"/>
          <w:rtl w:val="0"/>
        </w:rPr>
        <w:t xml:space="preserve">emi002:ConnectorType</w:t>
      </w:r>
      <w:r w:rsidDel="00000000" w:rsidR="00000000" w:rsidRPr="00000000">
        <w:rPr>
          <w:color w:val="000000"/>
          <w:sz w:val="18"/>
          <w:szCs w:val="18"/>
          <w:rtl w:val="0"/>
        </w:rPr>
        <w:t xml:space="preserve"> (</w:t>
      </w:r>
      <w:r w:rsidDel="00000000" w:rsidR="00000000" w:rsidRPr="00000000">
        <w:rPr>
          <w:sz w:val="18"/>
          <w:szCs w:val="18"/>
          <w:rtl w:val="0"/>
        </w:rPr>
        <w:t xml:space="preserve">tabulka 20 normy</w:t>
      </w:r>
      <w:r w:rsidDel="00000000" w:rsidR="00000000" w:rsidRPr="00000000">
        <w:rPr>
          <w:color w:val="000000"/>
          <w:sz w:val="18"/>
          <w:szCs w:val="18"/>
          <w:rtl w:val="0"/>
        </w:rPr>
        <w:t xml:space="preserve">)</w:t>
      </w:r>
    </w:p>
    <w:tbl>
      <w:tblPr>
        <w:tblStyle w:val="Table4"/>
        <w:tblW w:w="9044.0" w:type="dxa"/>
        <w:jc w:val="left"/>
        <w:tblInd w:w="131.0" w:type="dxa"/>
        <w:tblLayout w:type="fixed"/>
        <w:tblLook w:val="0000"/>
      </w:tblPr>
      <w:tblGrid>
        <w:gridCol w:w="2519"/>
        <w:gridCol w:w="4290"/>
        <w:gridCol w:w="2235"/>
        <w:tblGridChange w:id="0">
          <w:tblGrid>
            <w:gridCol w:w="2519"/>
            <w:gridCol w:w="4290"/>
            <w:gridCol w:w="22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b w:val="1"/>
                <w:color w:val="000000"/>
                <w:rtl w:val="0"/>
              </w:rPr>
              <w:t xml:space="preserve">Kód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b w:val="1"/>
                <w:color w:val="000000"/>
                <w:rtl w:val="0"/>
              </w:rPr>
              <w:t xml:space="preserve">Fráze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b w:val="1"/>
                <w:color w:val="000000"/>
                <w:rtl w:val="0"/>
              </w:rPr>
              <w:t xml:space="preserve">komentář</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color w:val="000000"/>
                <w:rtl w:val="0"/>
              </w:rPr>
              <w:t xml:space="preserve">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color w:val="000000"/>
                <w:rtl w:val="0"/>
              </w:rPr>
              <w:t xml:space="preserve">stav neznámý (unknown)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Rule="auto"/>
              <w:ind w:left="0" w:hanging="2"/>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after="0" w:line="240" w:lineRule="auto"/>
              <w:ind w:left="0" w:hanging="2"/>
              <w:rPr/>
            </w:pPr>
            <w:r w:rsidDel="00000000" w:rsidR="00000000" w:rsidRPr="00000000">
              <w:rPr>
                <w:rtl w:val="0"/>
              </w:rPr>
              <w:t xml:space="preserve">001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spacing w:after="0" w:line="240" w:lineRule="auto"/>
              <w:ind w:left="0" w:hanging="2"/>
              <w:rPr/>
            </w:pPr>
            <w:r w:rsidDel="00000000" w:rsidR="00000000" w:rsidRPr="00000000">
              <w:rPr>
                <w:rtl w:val="0"/>
              </w:rPr>
              <w:t xml:space="preserve">Typ2 (EU IEC 62196-2), 400V, 16A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after="0" w:line="240" w:lineRule="auto"/>
              <w:ind w:left="0" w:hanging="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after="0" w:line="240" w:lineRule="auto"/>
              <w:ind w:left="0" w:hanging="2"/>
              <w:rPr/>
            </w:pPr>
            <w:r w:rsidDel="00000000" w:rsidR="00000000" w:rsidRPr="00000000">
              <w:rPr>
                <w:rtl w:val="0"/>
              </w:rPr>
              <w:t xml:space="preserve">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after="0" w:line="240" w:lineRule="auto"/>
              <w:ind w:left="0" w:hanging="2"/>
              <w:rPr/>
            </w:pPr>
            <w:r w:rsidDel="00000000" w:rsidR="00000000" w:rsidRPr="00000000">
              <w:rPr>
                <w:rtl w:val="0"/>
              </w:rPr>
              <w:t xml:space="preserve">Typ2  (EU IEC 62196-2), 400V, 32A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after="0" w:line="240" w:lineRule="auto"/>
              <w:ind w:left="0" w:hanging="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after="0" w:line="240" w:lineRule="auto"/>
              <w:ind w:left="0" w:hanging="2"/>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after="0" w:line="240" w:lineRule="auto"/>
              <w:ind w:left="0" w:hanging="2"/>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after="0" w:line="240" w:lineRule="auto"/>
              <w:ind w:left="0" w:hanging="2"/>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after="0" w:line="240" w:lineRule="auto"/>
              <w:ind w:left="0" w:hanging="2"/>
              <w:rPr/>
            </w:pPr>
            <w:r w:rsidDel="00000000" w:rsidR="00000000" w:rsidRPr="00000000">
              <w:rPr>
                <w:rtl w:val="0"/>
              </w:rPr>
              <w:t xml:space="preserve">012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after="0" w:line="240" w:lineRule="auto"/>
              <w:ind w:left="0" w:hanging="2"/>
              <w:rPr/>
            </w:pPr>
            <w:r w:rsidDel="00000000" w:rsidR="00000000" w:rsidRPr="00000000">
              <w:rPr>
                <w:rtl w:val="0"/>
              </w:rPr>
              <w:t xml:space="preserve">MK Commando K9785, 200-250V, 32 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0" w:line="240" w:lineRule="auto"/>
              <w:ind w:left="0" w:hanging="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after="0" w:line="240" w:lineRule="auto"/>
              <w:ind w:left="0" w:hanging="2"/>
              <w:rPr/>
            </w:pPr>
            <w:r w:rsidDel="00000000" w:rsidR="00000000" w:rsidRPr="00000000">
              <w:rPr>
                <w:rtl w:val="0"/>
              </w:rPr>
              <w:t xml:space="preserve">013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after="0" w:line="240" w:lineRule="auto"/>
              <w:ind w:left="0" w:hanging="2"/>
              <w:rPr/>
            </w:pPr>
            <w:r w:rsidDel="00000000" w:rsidR="00000000" w:rsidRPr="00000000">
              <w:rPr>
                <w:rtl w:val="0"/>
              </w:rPr>
              <w:t xml:space="preserve">Tesla Connector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after="0" w:line="240" w:lineRule="auto"/>
              <w:ind w:left="0" w:hanging="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0" w:line="240" w:lineRule="auto"/>
              <w:ind w:left="0" w:hanging="2"/>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0" w:line="240" w:lineRule="auto"/>
              <w:ind w:left="0" w:hanging="2"/>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after="0" w:line="240" w:lineRule="auto"/>
              <w:ind w:left="0" w:hanging="2"/>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after="0" w:line="240" w:lineRule="auto"/>
              <w:ind w:left="0" w:hanging="2"/>
              <w:rPr/>
            </w:pPr>
            <w:r w:rsidDel="00000000" w:rsidR="00000000" w:rsidRPr="00000000">
              <w:rPr>
                <w:rtl w:val="0"/>
              </w:rPr>
              <w:t xml:space="preserve">032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0" w:line="240" w:lineRule="auto"/>
              <w:ind w:left="0" w:hanging="2"/>
              <w:rPr/>
            </w:pPr>
            <w:r w:rsidDel="00000000" w:rsidR="00000000" w:rsidRPr="00000000">
              <w:rPr>
                <w:rtl w:val="0"/>
              </w:rPr>
              <w:t xml:space="preserve">SAE J1772 DC Level3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after="0" w:line="240" w:lineRule="auto"/>
              <w:ind w:left="0" w:hanging="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0" w:line="240" w:lineRule="auto"/>
              <w:ind w:left="0" w:hanging="2"/>
              <w:rPr/>
            </w:pPr>
            <w:r w:rsidDel="00000000" w:rsidR="00000000" w:rsidRPr="00000000">
              <w:rPr>
                <w:rtl w:val="0"/>
              </w:rPr>
              <w:t xml:space="preserve">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after="0" w:line="240" w:lineRule="auto"/>
              <w:ind w:left="0" w:hanging="2"/>
              <w:rPr/>
            </w:pPr>
            <w:r w:rsidDel="00000000" w:rsidR="00000000" w:rsidRPr="00000000">
              <w:rPr>
                <w:rtl w:val="0"/>
              </w:rPr>
              <w:t xml:space="preserve">nestanoveno (undefined)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after="0" w:line="240" w:lineRule="auto"/>
              <w:ind w:left="0" w:hanging="2"/>
              <w:rPr/>
            </w:pPr>
            <w:r w:rsidDel="00000000" w:rsidR="00000000" w:rsidRPr="00000000">
              <w:rPr>
                <w:rtl w:val="0"/>
              </w:rPr>
            </w:r>
          </w:p>
        </w:tc>
      </w:tr>
    </w:tbl>
    <w:p w:rsidR="00000000" w:rsidDel="00000000" w:rsidP="00000000" w:rsidRDefault="00000000" w:rsidRPr="00000000" w14:paraId="000000B1">
      <w:pPr>
        <w:keepNext w:val="1"/>
        <w:keepLines w:val="1"/>
        <w:pBdr>
          <w:top w:space="0" w:sz="0" w:val="nil"/>
          <w:left w:space="0" w:sz="0" w:val="nil"/>
          <w:bottom w:space="0" w:sz="0" w:val="nil"/>
          <w:right w:space="0" w:sz="0" w:val="nil"/>
          <w:between w:space="0" w:sz="0" w:val="nil"/>
        </w:pBdr>
        <w:spacing w:after="60" w:before="200" w:lineRule="auto"/>
        <w:ind w:left="0" w:hanging="2"/>
        <w:rPr>
          <w:b w:val="1"/>
          <w:color w:val="000000"/>
          <w:sz w:val="22"/>
          <w:szCs w:val="22"/>
        </w:rPr>
      </w:pPr>
      <w:bookmarkStart w:colFirst="0" w:colLast="0" w:name="_heading=h.35nkun2" w:id="22"/>
      <w:bookmarkEnd w:id="22"/>
      <w:r w:rsidDel="00000000" w:rsidR="00000000" w:rsidRPr="00000000">
        <w:rPr>
          <w:b w:val="1"/>
          <w:color w:val="000000"/>
          <w:sz w:val="22"/>
          <w:szCs w:val="22"/>
          <w:rtl w:val="0"/>
        </w:rPr>
        <w:t xml:space="preserve">Příloha A (</w:t>
      </w:r>
      <w:r w:rsidDel="00000000" w:rsidR="00000000" w:rsidRPr="00000000">
        <w:rPr>
          <w:b w:val="1"/>
          <w:sz w:val="22"/>
          <w:szCs w:val="22"/>
          <w:rtl w:val="0"/>
        </w:rPr>
        <w:t xml:space="preserve">normativní</w:t>
      </w:r>
      <w:r w:rsidDel="00000000" w:rsidR="00000000" w:rsidRPr="00000000">
        <w:rPr>
          <w:b w:val="1"/>
          <w:color w:val="000000"/>
          <w:sz w:val="22"/>
          <w:szCs w:val="22"/>
          <w:rtl w:val="0"/>
        </w:rPr>
        <w:t xml:space="preserve">) TPEG-bin reprezentace </w:t>
      </w:r>
      <w:r w:rsidDel="00000000" w:rsidR="00000000" w:rsidRPr="00000000">
        <w:rPr>
          <w:b w:val="1"/>
          <w:sz w:val="22"/>
          <w:szCs w:val="22"/>
          <w:rtl w:val="0"/>
        </w:rPr>
        <w:t xml:space="preserve">EMI</w:t>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ind w:left="0" w:hanging="2"/>
        <w:rPr>
          <w:color w:val="000000"/>
        </w:rPr>
      </w:pPr>
      <w:bookmarkStart w:colFirst="0" w:colLast="0" w:name="_heading=h.1ksv4uv" w:id="23"/>
      <w:bookmarkEnd w:id="23"/>
      <w:r w:rsidDel="00000000" w:rsidR="00000000" w:rsidRPr="00000000">
        <w:rPr>
          <w:color w:val="000000"/>
          <w:rtl w:val="0"/>
        </w:rPr>
        <w:t xml:space="preserve">Tato příloha (rozsah </w:t>
      </w:r>
      <w:r w:rsidDel="00000000" w:rsidR="00000000" w:rsidRPr="00000000">
        <w:rPr>
          <w:rtl w:val="0"/>
        </w:rPr>
        <w:t xml:space="preserve">16</w:t>
      </w:r>
      <w:r w:rsidDel="00000000" w:rsidR="00000000" w:rsidRPr="00000000">
        <w:rPr>
          <w:color w:val="000000"/>
          <w:rtl w:val="0"/>
        </w:rPr>
        <w:t xml:space="preserve"> stran) stanovuje binární reprezentaci aplikace </w:t>
      </w:r>
      <w:r w:rsidDel="00000000" w:rsidR="00000000" w:rsidRPr="00000000">
        <w:rPr>
          <w:rtl w:val="0"/>
        </w:rPr>
        <w:t xml:space="preserve">EMI</w:t>
      </w:r>
      <w:r w:rsidDel="00000000" w:rsidR="00000000" w:rsidRPr="00000000">
        <w:rPr>
          <w:color w:val="000000"/>
          <w:rtl w:val="0"/>
        </w:rPr>
        <w:t xml:space="preserve"> pro použití v DAB. Pro popis binární reprezentace je použit pseudokód, kde pro každé klíčové slovo zapsané struktury je znám jeho binární tvar.</w:t>
      </w:r>
    </w:p>
    <w:p w:rsidR="00000000" w:rsidDel="00000000" w:rsidP="00000000" w:rsidRDefault="00000000" w:rsidRPr="00000000" w14:paraId="000000B3">
      <w:pPr>
        <w:pBdr>
          <w:top w:space="0" w:sz="0" w:val="nil"/>
          <w:left w:space="0" w:sz="0" w:val="nil"/>
          <w:bottom w:space="0" w:sz="0" w:val="nil"/>
          <w:right w:space="0" w:sz="0" w:val="nil"/>
          <w:between w:space="0" w:sz="0" w:val="nil"/>
        </w:pBdr>
        <w:ind w:left="0" w:hanging="2"/>
        <w:rPr>
          <w:color w:val="000000"/>
        </w:rPr>
      </w:pPr>
      <w:bookmarkStart w:colFirst="0" w:colLast="0" w:name="_heading=h.44sinio" w:id="24"/>
      <w:bookmarkEnd w:id="24"/>
      <w:r w:rsidDel="00000000" w:rsidR="00000000" w:rsidRPr="00000000">
        <w:rPr>
          <w:color w:val="000000"/>
          <w:rtl w:val="0"/>
        </w:rPr>
        <w:t xml:space="preserve">Příloha obsahuje samostatně uvedené binární reprezentace rámce TPEG, zprávy </w:t>
      </w:r>
      <w:r w:rsidDel="00000000" w:rsidR="00000000" w:rsidRPr="00000000">
        <w:rPr>
          <w:rtl w:val="0"/>
        </w:rPr>
        <w:t xml:space="preserve">EMI</w:t>
      </w:r>
      <w:r w:rsidDel="00000000" w:rsidR="00000000" w:rsidRPr="00000000">
        <w:rPr>
          <w:color w:val="000000"/>
          <w:rtl w:val="0"/>
        </w:rPr>
        <w:t xml:space="preserve"> a jejích součástí, prvků určených pro budoucí rozšíření a datových typů. Dále obsahuje identifikátory komponent zprávy a vysvětlení použití obecných atributů TPEG. Příklad pseudokódu binární specifikace </w:t>
      </w:r>
      <w:r w:rsidDel="00000000" w:rsidR="00000000" w:rsidRPr="00000000">
        <w:rPr>
          <w:rtl w:val="0"/>
        </w:rPr>
        <w:t xml:space="preserve">prvku</w:t>
      </w:r>
      <w:r w:rsidDel="00000000" w:rsidR="00000000" w:rsidRPr="00000000">
        <w:rPr>
          <w:color w:val="000000"/>
          <w:rtl w:val="0"/>
        </w:rPr>
        <w:t xml:space="preserve"> </w:t>
      </w:r>
      <w:r w:rsidDel="00000000" w:rsidR="00000000" w:rsidRPr="00000000">
        <w:rPr>
          <w:rtl w:val="0"/>
        </w:rPr>
        <w:t xml:space="preserve">ChargingParkAvailabilityVector </w:t>
      </w:r>
      <w:r w:rsidDel="00000000" w:rsidR="00000000" w:rsidRPr="00000000">
        <w:rPr>
          <w:color w:val="000000"/>
          <w:rtl w:val="0"/>
        </w:rPr>
        <w:t xml:space="preserve">je uveden v následující tabulce.</w:t>
      </w:r>
    </w:p>
    <w:p w:rsidR="00000000" w:rsidDel="00000000" w:rsidP="00000000" w:rsidRDefault="00000000" w:rsidRPr="00000000" w14:paraId="000000B4">
      <w:pPr>
        <w:keepNext w:val="1"/>
        <w:keepLines w:val="1"/>
        <w:pBdr>
          <w:top w:space="0" w:sz="0" w:val="nil"/>
          <w:left w:space="0" w:sz="0" w:val="nil"/>
          <w:bottom w:space="0" w:sz="0" w:val="nil"/>
          <w:right w:space="0" w:sz="0" w:val="nil"/>
          <w:between w:space="0" w:sz="0" w:val="nil"/>
        </w:pBdr>
        <w:spacing w:after="0" w:before="200" w:lineRule="auto"/>
        <w:ind w:left="0" w:hanging="2"/>
        <w:rPr>
          <w:sz w:val="18"/>
          <w:szCs w:val="18"/>
        </w:rPr>
      </w:pPr>
      <w:bookmarkStart w:colFirst="0" w:colLast="0" w:name="_heading=h.y0ayy7lgb8no" w:id="25"/>
      <w:bookmarkEnd w:id="25"/>
      <w:r w:rsidDel="00000000" w:rsidR="00000000" w:rsidRPr="00000000">
        <w:rPr>
          <w:sz w:val="18"/>
          <w:szCs w:val="18"/>
          <w:rtl w:val="0"/>
        </w:rPr>
        <w:t xml:space="preserve">Tabulka 4 - Příklad pseudokódu binární specifikace </w:t>
      </w:r>
      <w:r w:rsidDel="00000000" w:rsidR="00000000" w:rsidRPr="00000000">
        <w:rPr>
          <w:sz w:val="18"/>
          <w:szCs w:val="18"/>
          <w:u w:val="single"/>
          <w:rtl w:val="0"/>
        </w:rPr>
        <w:t xml:space="preserve">prvku</w:t>
      </w:r>
      <w:r w:rsidDel="00000000" w:rsidR="00000000" w:rsidRPr="00000000">
        <w:rPr>
          <w:sz w:val="18"/>
          <w:szCs w:val="18"/>
          <w:rtl w:val="0"/>
        </w:rPr>
        <w:t xml:space="preserve"> ChargingParkAvailabilityVector (článek A.1.6 normy)</w:t>
      </w:r>
    </w:p>
    <w:tbl>
      <w:tblPr>
        <w:tblStyle w:val="Table5"/>
        <w:tblW w:w="9072.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B5">
            <w:pPr>
              <w:spacing w:after="0" w:line="240" w:lineRule="auto"/>
              <w:ind w:left="0" w:hanging="2"/>
              <w:rPr/>
            </w:pPr>
            <w:r w:rsidDel="00000000" w:rsidR="00000000" w:rsidRPr="00000000">
              <w:rPr>
                <w:rtl w:val="0"/>
              </w:rPr>
              <w:t xml:space="preserve">&lt;ChargingParkAvailabilityVector(5)&gt;:=</w:t>
            </w:r>
          </w:p>
        </w:tc>
        <w:tc>
          <w:tcPr>
            <w:tcMar>
              <w:top w:w="0.0" w:type="dxa"/>
              <w:left w:w="0.0" w:type="dxa"/>
              <w:bottom w:w="0.0" w:type="dxa"/>
              <w:right w:w="0.0" w:type="dxa"/>
            </w:tcMar>
          </w:tcPr>
          <w:p w:rsidR="00000000" w:rsidDel="00000000" w:rsidP="00000000" w:rsidRDefault="00000000" w:rsidRPr="00000000" w14:paraId="000000B6">
            <w:pPr>
              <w:spacing w:after="0" w:line="240" w:lineRule="auto"/>
              <w:ind w:left="0" w:hanging="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B7">
            <w:pPr>
              <w:spacing w:after="0" w:line="240" w:lineRule="auto"/>
              <w:ind w:left="0" w:hanging="2"/>
              <w:rPr/>
            </w:pPr>
            <w:r w:rsidDel="00000000" w:rsidR="00000000" w:rsidRPr="00000000">
              <w:rPr>
                <w:rtl w:val="0"/>
              </w:rPr>
              <w:t xml:space="preserve">&lt;IntUnTi&gt;(5),</w:t>
              <w:tab/>
              <w:tab/>
            </w:r>
          </w:p>
        </w:tc>
        <w:tc>
          <w:tcPr>
            <w:tcMar>
              <w:top w:w="0.0" w:type="dxa"/>
              <w:left w:w="0.0" w:type="dxa"/>
              <w:bottom w:w="0.0" w:type="dxa"/>
              <w:right w:w="0.0" w:type="dxa"/>
            </w:tcMar>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240" w:lineRule="auto"/>
              <w:ind w:left="0" w:hanging="2"/>
              <w:rPr/>
            </w:pPr>
            <w:r w:rsidDel="00000000" w:rsidR="00000000" w:rsidRPr="00000000">
              <w:rPr>
                <w:rtl w:val="0"/>
              </w:rPr>
              <w:t xml:space="preserve">: Id této komponenty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B9">
            <w:pPr>
              <w:spacing w:after="0" w:line="240" w:lineRule="auto"/>
              <w:ind w:left="0" w:hanging="2"/>
              <w:rPr/>
            </w:pPr>
            <w:r w:rsidDel="00000000" w:rsidR="00000000" w:rsidRPr="00000000">
              <w:rPr>
                <w:rtl w:val="0"/>
              </w:rPr>
              <w:t xml:space="preserve">&lt;IntUnLoMB&gt;(lengthComp),</w:t>
              <w:tab/>
            </w:r>
          </w:p>
        </w:tc>
        <w:tc>
          <w:tcPr>
            <w:tcMar>
              <w:top w:w="0.0" w:type="dxa"/>
              <w:left w:w="0.0" w:type="dxa"/>
              <w:bottom w:w="0.0" w:type="dxa"/>
              <w:right w:w="0.0" w:type="dxa"/>
            </w:tcMar>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240" w:lineRule="auto"/>
              <w:ind w:left="0" w:hanging="2"/>
              <w:rPr/>
            </w:pPr>
            <w:r w:rsidDel="00000000" w:rsidR="00000000" w:rsidRPr="00000000">
              <w:rPr>
                <w:rtl w:val="0"/>
              </w:rPr>
              <w:t xml:space="preserve">: Počet bajtů v komponentě, kromě indikátorů id, lengthComp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BB">
            <w:pPr>
              <w:spacing w:after="0" w:line="240" w:lineRule="auto"/>
              <w:ind w:left="0" w:hanging="2"/>
              <w:rPr/>
            </w:pPr>
            <w:r w:rsidDel="00000000" w:rsidR="00000000" w:rsidRPr="00000000">
              <w:rPr>
                <w:rtl w:val="0"/>
              </w:rPr>
              <w:t xml:space="preserve">&lt;IntUnLoMB&gt;(lengthAttr),</w:t>
              <w:tab/>
            </w:r>
          </w:p>
        </w:tc>
        <w:tc>
          <w:tcPr>
            <w:tcMar>
              <w:top w:w="0.0" w:type="dxa"/>
              <w:left w:w="0.0" w:type="dxa"/>
              <w:bottom w:w="0.0" w:type="dxa"/>
              <w:right w:w="0.0" w:type="dxa"/>
            </w:tcMar>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240" w:lineRule="auto"/>
              <w:ind w:left="0" w:hanging="2"/>
              <w:rPr/>
            </w:pPr>
            <w:r w:rsidDel="00000000" w:rsidR="00000000" w:rsidRPr="00000000">
              <w:rPr>
                <w:rtl w:val="0"/>
              </w:rPr>
              <w:t xml:space="preserve">: Počet bajtů v atributech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BD">
            <w:pPr>
              <w:spacing w:after="0" w:line="240" w:lineRule="auto"/>
              <w:ind w:left="0" w:hanging="2"/>
              <w:rPr/>
            </w:pPr>
            <w:r w:rsidDel="00000000" w:rsidR="00000000" w:rsidRPr="00000000">
              <w:rPr>
                <w:rtl w:val="0"/>
              </w:rPr>
              <w:t xml:space="preserve">&lt;DateTime&gt;(timeStamp),</w:t>
            </w:r>
          </w:p>
        </w:tc>
        <w:tc>
          <w:tcPr>
            <w:tcMar>
              <w:top w:w="0.0" w:type="dxa"/>
              <w:left w:w="0.0" w:type="dxa"/>
              <w:bottom w:w="0.0" w:type="dxa"/>
              <w:right w:w="0.0" w:type="dxa"/>
            </w:tcMar>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240" w:lineRule="auto"/>
              <w:ind w:left="0" w:hanging="2"/>
              <w:rPr/>
            </w:pPr>
            <w:r w:rsidDel="00000000" w:rsidR="00000000" w:rsidRPr="00000000">
              <w:rPr>
                <w:rtl w:val="0"/>
              </w:rPr>
              <w:t xml:space="preserve">: Začátek časového období, po které je poskytovaný obsah platný.</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BF">
            <w:pPr>
              <w:spacing w:after="0" w:line="240" w:lineRule="auto"/>
              <w:ind w:left="0" w:hanging="2"/>
              <w:rPr/>
            </w:pPr>
            <w:r w:rsidDel="00000000" w:rsidR="00000000" w:rsidRPr="00000000">
              <w:rPr>
                <w:rtl w:val="0"/>
              </w:rPr>
              <w:t xml:space="preserve">&lt;IntUnLoMB&gt;(n),</w:t>
              <w:tab/>
            </w:r>
          </w:p>
        </w:tc>
        <w:tc>
          <w:tcPr>
            <w:tcMar>
              <w:top w:w="0.0" w:type="dxa"/>
              <w:left w:w="0.0" w:type="dxa"/>
              <w:bottom w:w="0.0" w:type="dxa"/>
              <w:right w:w="0.0" w:type="dxa"/>
            </w:tcMar>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240" w:lineRule="auto"/>
              <w:ind w:left="0" w:hanging="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C1">
            <w:pPr>
              <w:spacing w:after="0" w:line="240" w:lineRule="auto"/>
              <w:ind w:left="0" w:hanging="2"/>
              <w:rPr/>
            </w:pPr>
            <w:r w:rsidDel="00000000" w:rsidR="00000000" w:rsidRPr="00000000">
              <w:rPr>
                <w:rtl w:val="0"/>
              </w:rPr>
              <w:t xml:space="preserve">n * &lt;ChargingParkAvailability&gt;(chargingParkAvailability),</w:t>
            </w:r>
          </w:p>
        </w:tc>
        <w:tc>
          <w:tcPr>
            <w:tcMar>
              <w:top w:w="0.0" w:type="dxa"/>
              <w:left w:w="0.0" w:type="dxa"/>
              <w:bottom w:w="0.0" w:type="dxa"/>
              <w:right w:w="0.0" w:type="dxa"/>
            </w:tcMar>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240" w:lineRule="auto"/>
              <w:ind w:left="0" w:hanging="2"/>
              <w:rPr/>
            </w:pPr>
            <w:r w:rsidDel="00000000" w:rsidR="00000000" w:rsidRPr="00000000">
              <w:rPr>
                <w:rtl w:val="0"/>
              </w:rPr>
              <w:t xml:space="preserve">: Informace o dostupnosti </w:t>
            </w:r>
            <w:r w:rsidDel="00000000" w:rsidR="00000000" w:rsidRPr="00000000">
              <w:rPr>
                <w:rtl w:val="0"/>
              </w:rPr>
              <w:t xml:space="preserve">nabíjecích </w:t>
            </w:r>
            <w:r w:rsidDel="00000000" w:rsidR="00000000" w:rsidRPr="00000000">
              <w:rPr>
                <w:rtl w:val="0"/>
              </w:rPr>
              <w:t xml:space="preserve">míst v konkrétním </w:t>
            </w:r>
            <w:r w:rsidDel="00000000" w:rsidR="00000000" w:rsidRPr="00000000">
              <w:rPr>
                <w:rtl w:val="0"/>
              </w:rPr>
              <w:t xml:space="preserve">parkovišti s nabíjecími stanicemi</w:t>
            </w:r>
            <w:r w:rsidDel="00000000" w:rsidR="00000000" w:rsidRPr="00000000">
              <w:rPr>
                <w:rtl w:val="0"/>
              </w:rPr>
              <w:t xml:space="preserve">. Volitelně mohou být informace o dostupnosti rozděleny na úroveň </w:t>
            </w:r>
            <w:r w:rsidDel="00000000" w:rsidR="00000000" w:rsidRPr="00000000">
              <w:rPr>
                <w:rtl w:val="0"/>
              </w:rPr>
              <w:t xml:space="preserve">na</w:t>
            </w:r>
            <w:r w:rsidDel="00000000" w:rsidR="00000000" w:rsidRPr="00000000">
              <w:rPr>
                <w:rtl w:val="0"/>
              </w:rPr>
              <w:t xml:space="preserve">bíjecích stanic.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C3">
            <w:pPr>
              <w:spacing w:after="0" w:line="240" w:lineRule="auto"/>
              <w:ind w:left="0" w:hanging="2"/>
              <w:rPr/>
            </w:pPr>
            <w:r w:rsidDel="00000000" w:rsidR="00000000" w:rsidRPr="00000000">
              <w:rPr>
                <w:rtl w:val="0"/>
              </w:rPr>
              <w:t xml:space="preserve">BitArray(selector),</w:t>
            </w:r>
          </w:p>
        </w:tc>
        <w:tc>
          <w:tcPr>
            <w:tcMar>
              <w:top w:w="0.0" w:type="dxa"/>
              <w:left w:w="0.0" w:type="dxa"/>
              <w:bottom w:w="0.0" w:type="dxa"/>
              <w:right w:w="0.0" w:type="dxa"/>
            </w:tcMar>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240" w:lineRule="auto"/>
              <w:ind w:left="0" w:hanging="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C5">
            <w:pPr>
              <w:spacing w:after="0" w:line="240" w:lineRule="auto"/>
              <w:ind w:left="0" w:hanging="2"/>
              <w:rPr/>
            </w:pPr>
            <w:r w:rsidDel="00000000" w:rsidR="00000000" w:rsidRPr="00000000">
              <w:rPr>
                <w:rtl w:val="0"/>
              </w:rPr>
              <w:t xml:space="preserve">if (bit 0 of selector is set)</w:t>
            </w:r>
          </w:p>
        </w:tc>
        <w:tc>
          <w:tcPr>
            <w:tcMar>
              <w:top w:w="0.0" w:type="dxa"/>
              <w:left w:w="0.0" w:type="dxa"/>
              <w:bottom w:w="0.0" w:type="dxa"/>
              <w:right w:w="0.0" w:type="dxa"/>
            </w:tcMar>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240" w:lineRule="auto"/>
              <w:ind w:left="0" w:hanging="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C7">
            <w:pPr>
              <w:spacing w:after="0" w:line="240" w:lineRule="auto"/>
              <w:ind w:left="0" w:hanging="2"/>
              <w:rPr/>
            </w:pPr>
            <w:r w:rsidDel="00000000" w:rsidR="00000000" w:rsidRPr="00000000">
              <w:rPr>
                <w:rtl w:val="0"/>
              </w:rPr>
              <w:t xml:space="preserve">&lt;ShortString&gt;(vectorLabel);</w:t>
            </w:r>
          </w:p>
        </w:tc>
        <w:tc>
          <w:tcPr>
            <w:tcMar>
              <w:top w:w="0.0" w:type="dxa"/>
              <w:left w:w="0.0" w:type="dxa"/>
              <w:bottom w:w="0.0" w:type="dxa"/>
              <w:right w:w="0.0" w:type="dxa"/>
            </w:tcMar>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240" w:lineRule="auto"/>
              <w:ind w:left="0" w:hanging="2"/>
              <w:rPr/>
            </w:pPr>
            <w:r w:rsidDel="00000000" w:rsidR="00000000" w:rsidRPr="00000000">
              <w:rPr>
                <w:rtl w:val="0"/>
              </w:rPr>
              <w:t xml:space="preserve">: Popis </w:t>
            </w:r>
            <w:r w:rsidDel="00000000" w:rsidR="00000000" w:rsidRPr="00000000">
              <w:rPr>
                <w:rtl w:val="0"/>
              </w:rPr>
              <w:t xml:space="preserve">parkovišť s nabíjecími stanicemi</w:t>
            </w:r>
            <w:r w:rsidDel="00000000" w:rsidR="00000000" w:rsidRPr="00000000">
              <w:rPr>
                <w:rtl w:val="0"/>
              </w:rPr>
              <w:t xml:space="preserve"> patřících do tohoto vektoru (např. všechny </w:t>
            </w:r>
            <w:r w:rsidDel="00000000" w:rsidR="00000000" w:rsidRPr="00000000">
              <w:rPr>
                <w:u w:val="single"/>
                <w:rtl w:val="0"/>
              </w:rPr>
              <w:t xml:space="preserve">nabíjecí stanice</w:t>
            </w:r>
            <w:r w:rsidDel="00000000" w:rsidR="00000000" w:rsidRPr="00000000">
              <w:rPr>
                <w:rtl w:val="0"/>
              </w:rPr>
              <w:t xml:space="preserve"> v Garmisch-Partenkirchenu)</w:t>
            </w:r>
          </w:p>
        </w:tc>
      </w:tr>
    </w:tbl>
    <w:p w:rsidR="00000000" w:rsidDel="00000000" w:rsidP="00000000" w:rsidRDefault="00000000" w:rsidRPr="00000000" w14:paraId="000000C9">
      <w:pPr>
        <w:keepNext w:val="1"/>
        <w:keepLines w:val="1"/>
        <w:pBdr>
          <w:top w:space="0" w:sz="0" w:val="nil"/>
          <w:left w:space="0" w:sz="0" w:val="nil"/>
          <w:bottom w:space="0" w:sz="0" w:val="nil"/>
          <w:right w:space="0" w:sz="0" w:val="nil"/>
          <w:between w:space="0" w:sz="0" w:val="nil"/>
        </w:pBdr>
        <w:spacing w:after="60" w:before="200" w:lineRule="auto"/>
        <w:ind w:left="0" w:hanging="2"/>
        <w:rPr>
          <w:b w:val="1"/>
          <w:color w:val="000000"/>
          <w:sz w:val="22"/>
          <w:szCs w:val="22"/>
        </w:rPr>
      </w:pPr>
      <w:r w:rsidDel="00000000" w:rsidR="00000000" w:rsidRPr="00000000">
        <w:rPr>
          <w:b w:val="1"/>
          <w:color w:val="000000"/>
          <w:sz w:val="22"/>
          <w:szCs w:val="22"/>
          <w:rtl w:val="0"/>
        </w:rPr>
        <w:t xml:space="preserve">Příloha B (normativní) TPEG-ML reprezentace </w:t>
      </w:r>
      <w:r w:rsidDel="00000000" w:rsidR="00000000" w:rsidRPr="00000000">
        <w:rPr>
          <w:b w:val="1"/>
          <w:sz w:val="22"/>
          <w:szCs w:val="22"/>
          <w:rtl w:val="0"/>
        </w:rPr>
        <w:t xml:space="preserve">EMI</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ind w:left="0" w:hanging="2"/>
        <w:rPr>
          <w:color w:val="000000"/>
        </w:rPr>
      </w:pPr>
      <w:r w:rsidDel="00000000" w:rsidR="00000000" w:rsidRPr="00000000">
        <w:rPr>
          <w:color w:val="000000"/>
          <w:rtl w:val="0"/>
        </w:rPr>
        <w:t xml:space="preserve">Tato příloha (rozsah 1</w:t>
      </w:r>
      <w:r w:rsidDel="00000000" w:rsidR="00000000" w:rsidRPr="00000000">
        <w:rPr>
          <w:rtl w:val="0"/>
        </w:rPr>
        <w:t xml:space="preserve">8</w:t>
      </w:r>
      <w:r w:rsidDel="00000000" w:rsidR="00000000" w:rsidRPr="00000000">
        <w:rPr>
          <w:color w:val="000000"/>
          <w:rtl w:val="0"/>
        </w:rPr>
        <w:t xml:space="preserve"> stran) obsahuje nejprve </w:t>
      </w:r>
      <w:r w:rsidDel="00000000" w:rsidR="00000000" w:rsidRPr="00000000">
        <w:rPr>
          <w:color w:val="000000"/>
          <w:u w:val="single"/>
          <w:rtl w:val="0"/>
        </w:rPr>
        <w:t xml:space="preserve">samostatně uvedené</w:t>
      </w:r>
      <w:r w:rsidDel="00000000" w:rsidR="00000000" w:rsidRPr="00000000">
        <w:rPr>
          <w:color w:val="000000"/>
          <w:rtl w:val="0"/>
        </w:rPr>
        <w:t xml:space="preserve"> XML schéma rámce TPEG, dále zprávy </w:t>
      </w:r>
      <w:r w:rsidDel="00000000" w:rsidR="00000000" w:rsidRPr="00000000">
        <w:rPr>
          <w:rtl w:val="0"/>
        </w:rPr>
        <w:t xml:space="preserve">EMI</w:t>
      </w:r>
      <w:r w:rsidDel="00000000" w:rsidR="00000000" w:rsidRPr="00000000">
        <w:rPr>
          <w:color w:val="000000"/>
          <w:rtl w:val="0"/>
        </w:rPr>
        <w:t xml:space="preserve"> a jejích součástí, prvků určených pro budoucí rozšíření, datových typů a tabulek </w:t>
      </w:r>
      <w:r w:rsidDel="00000000" w:rsidR="00000000" w:rsidRPr="00000000">
        <w:rPr>
          <w:rtl w:val="0"/>
        </w:rPr>
        <w:t xml:space="preserve">EMI</w:t>
      </w:r>
      <w:r w:rsidDel="00000000" w:rsidR="00000000" w:rsidRPr="00000000">
        <w:rPr>
          <w:color w:val="000000"/>
          <w:rtl w:val="0"/>
        </w:rPr>
        <w:t xml:space="preserve"> (definovaných jako xs:complexType), viz příklad na obrázku níže. Následně uvádí vše výše zmíněné v jednom funkčním XML schématu. </w:t>
      </w:r>
    </w:p>
    <w:tbl>
      <w:tblPr>
        <w:tblStyle w:val="Table6"/>
        <w:tblW w:w="921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12"/>
        <w:tblGridChange w:id="0">
          <w:tblGrid>
            <w:gridCol w:w="9212"/>
          </w:tblGrid>
        </w:tblGridChange>
      </w:tblGrid>
      <w:tr>
        <w:trPr>
          <w:cantSplit w:val="0"/>
          <w:tblHeader w:val="0"/>
        </w:trPr>
        <w:tc>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fff2cc" w:val="clear"/>
              <w:tabs>
                <w:tab w:val="left" w:pos="1360"/>
              </w:tabs>
              <w:spacing w:after="40" w:line="24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&lt;xs:complexType name="ChargingStationInformation"&gt;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fff2cc" w:val="clear"/>
              <w:tabs>
                <w:tab w:val="left" w:pos="1360"/>
              </w:tabs>
              <w:spacing w:after="40" w:line="24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&lt;xs:sequence&gt;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fff2cc" w:val="clear"/>
              <w:tabs>
                <w:tab w:val="left" w:pos="1360"/>
              </w:tabs>
              <w:spacing w:after="40" w:line="24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&lt;xs:element name="stationID_Key" type="tdt:IntUnLoMB"/&gt; </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2cc" w:val="clear"/>
              <w:tabs>
                <w:tab w:val="left" w:pos="1360"/>
              </w:tabs>
              <w:spacing w:after="40" w:line="24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&lt;xs:element name="stationExternalId" type="tdt:ShortString" minOccurs="0"/&gt;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2cc" w:val="clear"/>
              <w:tabs>
                <w:tab w:val="left" w:pos="1360"/>
              </w:tabs>
              <w:spacing w:after="40" w:line="24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&lt;xs:element name="connectorType" type="emi002_ConnectorType" minOccurs="0" maxOccurs="unbounded"/&gt;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fff2cc" w:val="clear"/>
              <w:tabs>
                <w:tab w:val="left" w:pos="1360"/>
              </w:tabs>
              <w:spacing w:after="40" w:line="24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&lt;xs:element name="stationType" type="emi008_StationType" minOccurs="0"/&gt;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2cc" w:val="clear"/>
              <w:tabs>
                <w:tab w:val="left" w:pos="1360"/>
              </w:tabs>
              <w:spacing w:after="40" w:line="24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&lt;xs:element name="vehicleType" type="emi009_VehicleType" minOccurs="0" maxOccurs="unbounded"/&gt;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fff2cc" w:val="clear"/>
              <w:tabs>
                <w:tab w:val="left" w:pos="1360"/>
              </w:tabs>
              <w:spacing w:after="40" w:line="24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&lt;xs:element name="sizeRestrictions" type="SizeRestrictions" minOccurs="0"/&gt; </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fff2cc" w:val="clear"/>
              <w:tabs>
                <w:tab w:val="left" w:pos="1360"/>
              </w:tabs>
              <w:spacing w:after="40" w:line="24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&lt;/xs:sequence&gt;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fff2cc" w:val="clear"/>
              <w:tabs>
                <w:tab w:val="left" w:pos="1360"/>
              </w:tabs>
              <w:spacing w:after="40" w:line="240" w:lineRule="auto"/>
              <w:ind w:left="0" w:hanging="2"/>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&lt;/xs:complexType&gt; </w:t>
            </w:r>
          </w:p>
        </w:tc>
      </w:tr>
    </w:tbl>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200" w:lineRule="auto"/>
        <w:ind w:left="0" w:hanging="2"/>
        <w:jc w:val="center"/>
        <w:rPr>
          <w:color w:val="000000"/>
        </w:rPr>
      </w:pPr>
      <w:r w:rsidDel="00000000" w:rsidR="00000000" w:rsidRPr="00000000">
        <w:rPr>
          <w:color w:val="000000"/>
          <w:sz w:val="18"/>
          <w:szCs w:val="18"/>
          <w:rtl w:val="0"/>
        </w:rPr>
        <w:t xml:space="preserve">Obrázek 4 - XML </w:t>
      </w:r>
      <w:r w:rsidDel="00000000" w:rsidR="00000000" w:rsidRPr="00000000">
        <w:rPr>
          <w:sz w:val="18"/>
          <w:szCs w:val="18"/>
          <w:rtl w:val="0"/>
        </w:rPr>
        <w:t xml:space="preserve">S</w:t>
      </w:r>
      <w:r w:rsidDel="00000000" w:rsidR="00000000" w:rsidRPr="00000000">
        <w:rPr>
          <w:color w:val="000000"/>
          <w:sz w:val="18"/>
          <w:szCs w:val="18"/>
          <w:rtl w:val="0"/>
        </w:rPr>
        <w:t xml:space="preserve">chéma stanovujícího strukturu </w:t>
      </w:r>
      <w:r w:rsidDel="00000000" w:rsidR="00000000" w:rsidRPr="00000000">
        <w:rPr>
          <w:sz w:val="18"/>
          <w:szCs w:val="18"/>
          <w:rtl w:val="0"/>
        </w:rPr>
        <w:t xml:space="preserve">prvku</w:t>
      </w:r>
      <w:r w:rsidDel="00000000" w:rsidR="00000000" w:rsidRPr="00000000">
        <w:rPr>
          <w:color w:val="000000"/>
          <w:sz w:val="18"/>
          <w:szCs w:val="18"/>
          <w:rtl w:val="0"/>
        </w:rPr>
        <w:t xml:space="preserve"> </w:t>
      </w:r>
      <w:r w:rsidDel="00000000" w:rsidR="00000000" w:rsidRPr="00000000">
        <w:rPr>
          <w:sz w:val="18"/>
          <w:szCs w:val="18"/>
          <w:rtl w:val="0"/>
        </w:rPr>
        <w:t xml:space="preserve">ChargingStationInformation (část B.1.4 normy)</w:t>
      </w:r>
      <w:r w:rsidDel="00000000" w:rsidR="00000000" w:rsidRPr="00000000">
        <w:rPr>
          <w:rtl w:val="0"/>
        </w:rPr>
      </w:r>
    </w:p>
    <w:sectPr>
      <w:footerReference r:id="rId12" w:type="default"/>
      <w:pgSz w:h="16838" w:w="11906" w:orient="portrait"/>
      <w:pgMar w:bottom="1497" w:top="1417" w:left="1417" w:right="1417" w:header="708"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6">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899795</wp:posOffset>
          </wp:positionH>
          <wp:positionV relativeFrom="paragraph">
            <wp:posOffset>0</wp:posOffset>
          </wp:positionV>
          <wp:extent cx="75565" cy="145415"/>
          <wp:effectExtent b="0" l="0" r="0" t="0"/>
          <wp:wrapSquare wrapText="bothSides" distB="0" distT="0" distL="114300" distR="114300"/>
          <wp:docPr id="104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565" cy="145415"/>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cs-CZ"/>
      </w:rPr>
    </w:rPrDefault>
    <w:pPrDefault>
      <w:pPr>
        <w:spacing w:after="120" w:line="276" w:lineRule="auto"/>
        <w:ind w:hanging="1"/>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before="200" w:lineRule="auto"/>
    </w:pPr>
    <w:rPr>
      <w:b w:val="1"/>
      <w:color w:val="000000"/>
      <w:sz w:val="22"/>
      <w:szCs w:val="22"/>
    </w:rPr>
  </w:style>
  <w:style w:type="paragraph" w:styleId="Heading2">
    <w:name w:val="heading 2"/>
    <w:basedOn w:val="Normal"/>
    <w:next w:val="Normal"/>
    <w:pPr>
      <w:keepNext w:val="1"/>
      <w:keepLines w:val="1"/>
      <w:spacing w:after="80" w:before="360" w:lineRule="auto"/>
    </w:pPr>
    <w:rPr>
      <w:b w:val="1"/>
      <w:color w:val="000000"/>
      <w:sz w:val="36"/>
      <w:szCs w:val="36"/>
    </w:rPr>
  </w:style>
  <w:style w:type="paragraph" w:styleId="Heading3">
    <w:name w:val="heading 3"/>
    <w:basedOn w:val="Normal"/>
    <w:next w:val="Normal"/>
    <w:pPr>
      <w:keepNext w:val="1"/>
      <w:keepLines w:val="1"/>
      <w:spacing w:after="80" w:before="280" w:lineRule="auto"/>
    </w:pPr>
    <w:rPr>
      <w:b w:val="1"/>
      <w:color w:val="000000"/>
      <w:sz w:val="28"/>
      <w:szCs w:val="28"/>
    </w:rPr>
  </w:style>
  <w:style w:type="paragraph" w:styleId="Heading4">
    <w:name w:val="heading 4"/>
    <w:basedOn w:val="Normal"/>
    <w:next w:val="Normal"/>
    <w:pPr>
      <w:keepNext w:val="1"/>
      <w:keepLines w:val="1"/>
      <w:spacing w:after="40" w:before="240" w:lineRule="auto"/>
    </w:pPr>
    <w:rPr>
      <w:b w:val="1"/>
      <w:color w:val="000000"/>
      <w:sz w:val="24"/>
      <w:szCs w:val="24"/>
    </w:rPr>
  </w:style>
  <w:style w:type="paragraph" w:styleId="Heading5">
    <w:name w:val="heading 5"/>
    <w:basedOn w:val="Normal"/>
    <w:next w:val="Normal"/>
    <w:pPr>
      <w:keepNext w:val="1"/>
      <w:keepLines w:val="1"/>
      <w:spacing w:after="40" w:before="220" w:lineRule="auto"/>
    </w:pPr>
    <w:rPr>
      <w:b w:val="1"/>
      <w:color w:val="000000"/>
      <w:sz w:val="22"/>
      <w:szCs w:val="22"/>
    </w:rPr>
  </w:style>
  <w:style w:type="paragraph" w:styleId="Heading6">
    <w:name w:val="heading 6"/>
    <w:basedOn w:val="Normal"/>
    <w:next w:val="Normal"/>
    <w:pPr>
      <w:keepNext w:val="1"/>
      <w:keepLines w:val="1"/>
      <w:spacing w:after="40" w:before="200" w:lineRule="auto"/>
    </w:pPr>
    <w:rPr>
      <w:b w:val="1"/>
      <w:color w:val="000000"/>
    </w:rPr>
  </w:style>
  <w:style w:type="paragraph" w:styleId="Title">
    <w:name w:val="Title"/>
    <w:basedOn w:val="Normal"/>
    <w:next w:val="Normal"/>
    <w:pPr>
      <w:keepNext w:val="1"/>
      <w:keepLines w:val="1"/>
      <w:widowControl w:val="0"/>
      <w:tabs>
        <w:tab w:val="left" w:pos="7080"/>
        <w:tab w:val="right" w:pos="9923"/>
      </w:tabs>
      <w:spacing w:after="60" w:lineRule="auto"/>
      <w:jc w:val="center"/>
    </w:pPr>
    <w:rPr>
      <w:b w:val="1"/>
      <w:color w:val="000000"/>
      <w:sz w:val="40"/>
      <w:szCs w:val="40"/>
    </w:rPr>
  </w:style>
  <w:style w:type="paragraph" w:styleId="Normln" w:default="1">
    <w:name w:val="Normal"/>
    <w:pPr>
      <w:ind w:left="-1" w:leftChars="-1" w:hanging="1" w:hangingChars="1"/>
      <w:textDirection w:val="btLr"/>
      <w:textAlignment w:val="top"/>
      <w:outlineLvl w:val="0"/>
    </w:pPr>
    <w:rPr>
      <w:position w:val="-1"/>
      <w:lang w:bidi="hi-IN" w:eastAsia="hi-IN"/>
    </w:rPr>
  </w:style>
  <w:style w:type="paragraph" w:styleId="Nadpis1">
    <w:name w:val="heading 1"/>
    <w:basedOn w:val="Normln"/>
    <w:next w:val="Zkladntext"/>
    <w:pPr>
      <w:keepNext w:val="1"/>
      <w:keepLines w:val="1"/>
      <w:spacing w:after="60" w:before="200"/>
    </w:pPr>
    <w:rPr>
      <w:b w:val="1"/>
      <w:color w:val="000000"/>
      <w:sz w:val="22"/>
      <w:szCs w:val="22"/>
    </w:rPr>
  </w:style>
  <w:style w:type="paragraph" w:styleId="Nadpis2">
    <w:name w:val="heading 2"/>
    <w:basedOn w:val="Normln"/>
    <w:next w:val="Zkladntext"/>
    <w:pPr>
      <w:keepNext w:val="1"/>
      <w:keepLines w:val="1"/>
      <w:spacing w:after="80" w:before="360"/>
      <w:outlineLvl w:val="1"/>
    </w:pPr>
    <w:rPr>
      <w:b w:val="1"/>
      <w:color w:val="000000"/>
      <w:sz w:val="36"/>
      <w:szCs w:val="36"/>
    </w:rPr>
  </w:style>
  <w:style w:type="paragraph" w:styleId="Nadpis3">
    <w:name w:val="heading 3"/>
    <w:basedOn w:val="Normln"/>
    <w:next w:val="Zkladntext"/>
    <w:pPr>
      <w:keepNext w:val="1"/>
      <w:keepLines w:val="1"/>
      <w:spacing w:after="80" w:before="280"/>
      <w:outlineLvl w:val="2"/>
    </w:pPr>
    <w:rPr>
      <w:b w:val="1"/>
      <w:color w:val="000000"/>
      <w:sz w:val="28"/>
      <w:szCs w:val="28"/>
    </w:rPr>
  </w:style>
  <w:style w:type="paragraph" w:styleId="Nadpis4">
    <w:name w:val="heading 4"/>
    <w:basedOn w:val="Normln"/>
    <w:next w:val="Zkladntext"/>
    <w:pPr>
      <w:keepNext w:val="1"/>
      <w:keepLines w:val="1"/>
      <w:spacing w:after="40" w:before="240"/>
      <w:outlineLvl w:val="3"/>
    </w:pPr>
    <w:rPr>
      <w:b w:val="1"/>
      <w:color w:val="000000"/>
      <w:sz w:val="24"/>
      <w:szCs w:val="24"/>
    </w:rPr>
  </w:style>
  <w:style w:type="paragraph" w:styleId="Nadpis5">
    <w:name w:val="heading 5"/>
    <w:basedOn w:val="Normln"/>
    <w:next w:val="Zkladntext"/>
    <w:pPr>
      <w:keepNext w:val="1"/>
      <w:keepLines w:val="1"/>
      <w:spacing w:after="40" w:before="220"/>
      <w:outlineLvl w:val="4"/>
    </w:pPr>
    <w:rPr>
      <w:b w:val="1"/>
      <w:color w:val="000000"/>
      <w:sz w:val="22"/>
      <w:szCs w:val="22"/>
    </w:rPr>
  </w:style>
  <w:style w:type="paragraph" w:styleId="Nadpis6">
    <w:name w:val="heading 6"/>
    <w:basedOn w:val="Normln"/>
    <w:next w:val="Zkladntext"/>
    <w:pPr>
      <w:keepNext w:val="1"/>
      <w:keepLines w:val="1"/>
      <w:spacing w:after="40" w:before="200"/>
      <w:outlineLvl w:val="5"/>
    </w:pPr>
    <w:rPr>
      <w:b w:val="1"/>
      <w:color w:val="000000"/>
    </w:rPr>
  </w:style>
  <w:style w:type="character" w:styleId="Standardnpsmoodstavce" w:default="1">
    <w:name w:val="Default Paragraph Font"/>
    <w:uiPriority w:val="1"/>
    <w:semiHidden w:val="1"/>
    <w:unhideWhenUsed w:val="1"/>
  </w:style>
  <w:style w:type="table" w:styleId="Normlntabul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seznamu"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zev">
    <w:name w:val="Title"/>
    <w:basedOn w:val="Normln"/>
    <w:next w:val="Podnadpis"/>
    <w:pPr>
      <w:keepNext w:val="1"/>
      <w:keepLines w:val="1"/>
      <w:widowControl w:val="0"/>
      <w:tabs>
        <w:tab w:val="left" w:pos="7080"/>
        <w:tab w:val="right" w:pos="9923"/>
      </w:tabs>
      <w:spacing w:after="60" w:line="100" w:lineRule="atLeast"/>
      <w:jc w:val="center"/>
    </w:pPr>
    <w:rPr>
      <w:b w:val="1"/>
      <w:bCs w:val="1"/>
      <w:color w:val="000000"/>
      <w:sz w:val="40"/>
      <w:szCs w:val="40"/>
    </w:rPr>
  </w:style>
  <w:style w:type="table" w:styleId="TableNormal0" w:customStyle="1">
    <w:name w:val="Table Normal"/>
    <w:tblPr>
      <w:tblCellMar>
        <w:top w:w="0.0" w:type="dxa"/>
        <w:left w:w="0.0" w:type="dxa"/>
        <w:bottom w:w="0.0" w:type="dxa"/>
        <w:right w:w="0.0" w:type="dxa"/>
      </w:tblCellMar>
    </w:tblPr>
  </w:style>
  <w:style w:type="character" w:styleId="ListLabel1" w:customStyle="1">
    <w:name w:val="ListLabel 1"/>
    <w:rPr>
      <w:w w:val="100"/>
      <w:position w:val="-1"/>
      <w:u w:val="none"/>
      <w:effect w:val="none"/>
      <w:vertAlign w:val="baseline"/>
      <w:cs w:val="0"/>
      <w:em w:val="none"/>
    </w:rPr>
  </w:style>
  <w:style w:type="character" w:styleId="Odrky" w:customStyle="1">
    <w:name w:val="Odrážky"/>
    <w:rPr>
      <w:rFonts w:ascii="OpenSymbol" w:cs="OpenSymbol" w:eastAsia="OpenSymbol" w:hAnsi="OpenSymbol"/>
      <w:w w:val="100"/>
      <w:position w:val="-1"/>
      <w:effect w:val="none"/>
      <w:vertAlign w:val="baseline"/>
      <w:cs w:val="0"/>
      <w:em w:val="none"/>
    </w:rPr>
  </w:style>
  <w:style w:type="paragraph" w:styleId="Nadpis" w:customStyle="1">
    <w:name w:val="Nadpis"/>
    <w:basedOn w:val="Normln"/>
    <w:next w:val="Zkladntext"/>
    <w:pPr>
      <w:keepNext w:val="1"/>
      <w:spacing w:before="240"/>
    </w:pPr>
    <w:rPr>
      <w:rFonts w:cs="Lucida Sans" w:eastAsia="Microsoft YaHei"/>
      <w:color w:val="000000"/>
      <w:sz w:val="28"/>
      <w:szCs w:val="28"/>
    </w:rPr>
  </w:style>
  <w:style w:type="paragraph" w:styleId="Zkladntext">
    <w:name w:val="Body Text"/>
    <w:basedOn w:val="Normln"/>
    <w:rPr>
      <w:color w:val="000000"/>
    </w:rPr>
  </w:style>
  <w:style w:type="paragraph" w:styleId="Seznam">
    <w:name w:val="List"/>
    <w:basedOn w:val="Zkladntext"/>
    <w:rPr>
      <w:rFonts w:cs="Lucida Sans"/>
    </w:rPr>
  </w:style>
  <w:style w:type="paragraph" w:styleId="Popisek" w:customStyle="1">
    <w:name w:val="Popisek"/>
    <w:basedOn w:val="Normln"/>
    <w:pPr>
      <w:suppressLineNumbers w:val="1"/>
      <w:spacing w:before="120"/>
    </w:pPr>
    <w:rPr>
      <w:rFonts w:cs="Lucida Sans"/>
      <w:i w:val="1"/>
      <w:iCs w:val="1"/>
      <w:color w:val="000000"/>
      <w:sz w:val="24"/>
      <w:szCs w:val="24"/>
    </w:rPr>
  </w:style>
  <w:style w:type="paragraph" w:styleId="Rejstk" w:customStyle="1">
    <w:name w:val="Rejstřík"/>
    <w:basedOn w:val="Normln"/>
    <w:pPr>
      <w:suppressLineNumbers w:val="1"/>
    </w:pPr>
    <w:rPr>
      <w:rFonts w:cs="Lucida Sans"/>
      <w:color w:val="000000"/>
    </w:rPr>
  </w:style>
  <w:style w:type="paragraph" w:styleId="Podnadpis" w:customStyle="1">
    <w:name w:val="Podnadpis"/>
    <w:basedOn w:val="Normln"/>
    <w:next w:val="Zkladntext"/>
    <w:pPr>
      <w:keepNext w:val="1"/>
      <w:keepLines w:val="1"/>
      <w:spacing w:after="0" w:before="180" w:line="100" w:lineRule="atLeast"/>
      <w:jc w:val="left"/>
    </w:pPr>
    <w:rPr>
      <w:b w:val="1"/>
      <w:i w:val="1"/>
      <w:iCs w:val="1"/>
      <w:color w:val="000000"/>
      <w:sz w:val="32"/>
      <w:szCs w:val="32"/>
    </w:rPr>
  </w:style>
  <w:style w:type="paragraph" w:styleId="Zpat">
    <w:name w:val="footer"/>
    <w:basedOn w:val="Normln"/>
    <w:pPr>
      <w:suppressLineNumbers w:val="1"/>
      <w:tabs>
        <w:tab w:val="center" w:pos="4819"/>
        <w:tab w:val="right" w:pos="9638"/>
      </w:tabs>
    </w:pPr>
    <w:rPr>
      <w:color w:val="000000"/>
    </w:rPr>
  </w:style>
  <w:style w:type="paragraph" w:styleId="Odstavecseseznamem">
    <w:name w:val="List Paragraph"/>
    <w:basedOn w:val="Normln"/>
    <w:pPr>
      <w:ind w:left="720" w:firstLine="0"/>
    </w:pPr>
    <w:rPr>
      <w:color w:val="000000"/>
    </w:rPr>
  </w:style>
  <w:style w:type="paragraph" w:styleId="Titulek">
    <w:name w:val="caption"/>
    <w:basedOn w:val="Normln"/>
    <w:next w:val="Normln"/>
    <w:pPr>
      <w:spacing w:after="200" w:line="100" w:lineRule="atLeast"/>
      <w:jc w:val="center"/>
    </w:pPr>
    <w:rPr>
      <w:bCs w:val="1"/>
      <w:color w:val="000000"/>
      <w:sz w:val="18"/>
      <w:szCs w:val="18"/>
    </w:rPr>
  </w:style>
  <w:style w:type="paragraph" w:styleId="Obsahtabulky" w:customStyle="1">
    <w:name w:val="Obsah tabulky"/>
    <w:basedOn w:val="Normln"/>
    <w:pPr>
      <w:suppressLineNumbers w:val="1"/>
    </w:pPr>
    <w:rPr>
      <w:color w:val="000000"/>
    </w:rPr>
  </w:style>
  <w:style w:type="paragraph" w:styleId="Normlnweb">
    <w:name w:val="Normal (Web)"/>
    <w:basedOn w:val="Normln"/>
    <w:qFormat w:val="1"/>
    <w:pPr>
      <w:suppressAutoHyphens w:val="1"/>
      <w:spacing w:after="100" w:afterAutospacing="1" w:before="100" w:beforeAutospacing="1" w:line="240" w:lineRule="auto"/>
      <w:jc w:val="left"/>
    </w:pPr>
    <w:rPr>
      <w:rFonts w:ascii="Times New Roman" w:cs="Times New Roman" w:eastAsia="Times New Roman" w:hAnsi="Times New Roman"/>
      <w:sz w:val="24"/>
      <w:szCs w:val="24"/>
      <w:lang w:bidi="ar-SA" w:eastAsia="cs-CZ"/>
    </w:rPr>
  </w:style>
  <w:style w:type="table" w:styleId="Mkatabulky">
    <w:name w:val="Table Grid"/>
    <w:basedOn w:val="Normlntabulka"/>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odtitul">
    <w:name w:val="Subtitle"/>
    <w:basedOn w:val="Normln"/>
    <w:next w:val="Normln"/>
    <w:pPr>
      <w:keepNext w:val="1"/>
      <w:keepLines w:val="1"/>
      <w:spacing w:after="80" w:before="360"/>
    </w:pPr>
    <w:rPr>
      <w:rFonts w:ascii="Georgia" w:cs="Georgia" w:eastAsia="Georgia" w:hAnsi="Georgia"/>
      <w:i w:val="1"/>
      <w:color w:val="666666"/>
      <w:sz w:val="48"/>
      <w:szCs w:val="48"/>
    </w:r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08.0" w:type="dxa"/>
        <w:bottom w:w="0.0" w:type="dxa"/>
        <w:right w:w="108.0" w:type="dxa"/>
      </w:tblCellMar>
    </w:tblPr>
  </w:style>
  <w:style w:type="table" w:styleId="a6" w:customStyle="1">
    <w:basedOn w:val="TableNormal0"/>
    <w:tblPr>
      <w:tblStyleRowBandSize w:val="1"/>
      <w:tblStyleColBandSize w:val="1"/>
      <w:tblCellMar>
        <w:top w:w="100.0" w:type="dxa"/>
        <w:left w:w="100.0" w:type="dxa"/>
        <w:bottom w:w="100.0" w:type="dxa"/>
        <w:right w:w="100.0" w:type="dxa"/>
      </w:tblCellMar>
    </w:tblPr>
  </w:style>
  <w:style w:type="table" w:styleId="a7" w:customStyle="1">
    <w:basedOn w:val="TableNormal0"/>
    <w:tblPr>
      <w:tblStyleRowBandSize w:val="1"/>
      <w:tblStyleColBandSize w:val="1"/>
      <w:tblCellMar>
        <w:top w:w="0.0" w:type="dxa"/>
        <w:left w:w="108.0" w:type="dxa"/>
        <w:bottom w:w="0.0" w:type="dxa"/>
        <w:right w:w="108.0" w:type="dxa"/>
      </w:tblCellMar>
    </w:tblPr>
  </w:style>
  <w:style w:type="table" w:styleId="a8" w:customStyle="1">
    <w:basedOn w:val="TableNormal0"/>
    <w:tblPr>
      <w:tblStyleRowBandSize w:val="1"/>
      <w:tblStyleColBandSize w:val="1"/>
      <w:tblCellMar>
        <w:top w:w="0.0" w:type="dxa"/>
        <w:left w:w="108.0" w:type="dxa"/>
        <w:bottom w:w="0.0" w:type="dxa"/>
        <w:right w:w="108.0" w:type="dxa"/>
      </w:tblCellMar>
    </w:tblPr>
  </w:style>
  <w:style w:type="table" w:styleId="a9" w:customStyle="1">
    <w:basedOn w:val="TableNormal0"/>
    <w:tblPr>
      <w:tblStyleRowBandSize w:val="1"/>
      <w:tblStyleColBandSize w:val="1"/>
      <w:tblCellMar>
        <w:top w:w="100.0" w:type="dxa"/>
        <w:left w:w="100.0" w:type="dxa"/>
        <w:bottom w:w="100.0" w:type="dxa"/>
        <w:right w:w="100.0" w:type="dxa"/>
      </w:tblCellMar>
    </w:tblPr>
  </w:style>
  <w:style w:type="table" w:styleId="aa" w:customStyle="1">
    <w:basedOn w:val="TableNormal0"/>
    <w:tblPr>
      <w:tblStyleRowBandSize w:val="1"/>
      <w:tblStyleColBandSize w:val="1"/>
      <w:tblCellMar>
        <w:top w:w="0.0" w:type="dxa"/>
        <w:left w:w="108.0" w:type="dxa"/>
        <w:bottom w:w="0.0" w:type="dxa"/>
        <w:right w:w="108.0" w:type="dxa"/>
      </w:tblCellMar>
    </w:tblPr>
  </w:style>
  <w:style w:type="paragraph" w:styleId="1StrNN-X" w:customStyle="1">
    <w:name w:val="1StrNN-X"/>
    <w:basedOn w:val="Normln"/>
    <w:rsid w:val="00EF4A16"/>
    <w:pPr>
      <w:widowControl w:val="0"/>
      <w:suppressAutoHyphens w:val="1"/>
      <w:spacing w:after="180" w:before="180" w:line="340" w:lineRule="exact"/>
      <w:ind w:left="0" w:right="567" w:leftChars="0" w:firstLine="0" w:firstLineChars="0"/>
      <w:jc w:val="left"/>
      <w:textDirection w:val="lrTb"/>
      <w:textAlignment w:val="auto"/>
      <w:outlineLvl w:val="9"/>
    </w:pPr>
    <w:rPr>
      <w:b w:val="1"/>
      <w:position w:val="0"/>
      <w:sz w:val="28"/>
      <w:lang w:bidi="ar-SA" w:eastAsia="cs-CZ"/>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www.itsterminology.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OlqUM5fNb3qd/LOz5Y8CE8YjPQ==">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2021-03-11T08:43:00Z</dcterms:created>
  <dc:creator>Petr Bureš</dc:creator>
</cp:coreProperties>
</file>