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bookmarkStart w:id="0" w:name="h.gjdgxs"/>
      <w:bookmarkEnd w:id="0"/>
      <w:r>
        <w:rPr/>
        <w:t>EXTRAKT z technické specifikace ISO</w:t>
      </w:r>
    </w:p>
    <w:p>
      <w:pPr>
        <w:pStyle w:val="normal1"/>
        <w:rPr/>
      </w:pPr>
      <w:r>
        <w:rPr>
          <w:b/>
        </w:rPr>
        <w:t>Extrakt nenahrazuje samotnou technickou normu, je pouze informativním materiálem o normě.</w:t>
      </w:r>
      <w:r>
        <w:rPr/>
        <w:tab/>
      </w:r>
    </w:p>
    <w:tbl>
      <w:tblPr>
        <w:tblW w:w="9923" w:type="dxa"/>
        <w:jc w:val="start"/>
        <w:tblInd w:w="-115" w:type="dxa"/>
        <w:tblLayout w:type="fixed"/>
        <w:tblCellMar>
          <w:top w:w="0" w:type="dxa"/>
          <w:start w:w="108" w:type="dxa"/>
          <w:bottom w:w="0" w:type="dxa"/>
          <w:end w:w="108" w:type="dxa"/>
        </w:tblCellMar>
      </w:tblPr>
      <w:tblGrid>
        <w:gridCol w:w="7371"/>
        <w:gridCol w:w="2552"/>
      </w:tblGrid>
      <w:tr>
        <w:trPr>
          <w:trHeight w:val="1200" w:hRule="atLeast"/>
        </w:trPr>
        <w:tc>
          <w:tcPr>
            <w:tcW w:w="7371" w:type="dxa"/>
            <w:tcBorders>
              <w:top w:val="single" w:sz="12" w:space="0" w:color="000000"/>
              <w:bottom w:val="single" w:sz="12" w:space="0" w:color="000000"/>
            </w:tcBorders>
          </w:tcPr>
          <w:p>
            <w:pPr>
              <w:pStyle w:val="1StrNN-X"/>
              <w:spacing w:before="180" w:after="180"/>
              <w:rPr/>
            </w:pPr>
            <w:bookmarkStart w:id="1" w:name="h.30j0zll"/>
            <w:bookmarkEnd w:id="1"/>
            <w:r>
              <w:rPr/>
              <w:t>Inteligentní dopravní systémy – Dopravní a cestovní informace předávané prostřednictvím expertní skupiny pro protokoly v dopravě 2. generace (TPEG2) - Část 4: Pravidla pro konverzi z UML do XML</w:t>
            </w:r>
          </w:p>
        </w:tc>
        <w:tc>
          <w:tcPr>
            <w:tcW w:w="2552" w:type="dxa"/>
            <w:tcBorders>
              <w:top w:val="single" w:sz="12" w:space="0" w:color="000000"/>
              <w:bottom w:val="single" w:sz="12" w:space="0" w:color="000000"/>
            </w:tcBorders>
          </w:tcPr>
          <w:p>
            <w:pPr>
              <w:pStyle w:val="1StrCN"/>
              <w:snapToGrid w:val="false"/>
              <w:spacing w:before="180" w:after="0"/>
              <w:rPr/>
            </w:pPr>
            <w:r>
              <w:rPr/>
            </w:r>
          </w:p>
          <w:p>
            <w:pPr>
              <w:pStyle w:val="1StrCN"/>
              <w:rPr/>
            </w:pPr>
            <w:r>
              <w:rPr/>
              <w:t>ISO/TS 21219-4</w:t>
            </w:r>
          </w:p>
          <w:p>
            <w:pPr>
              <w:pStyle w:val="normal1"/>
              <w:spacing w:before="80" w:after="80"/>
              <w:jc w:val="start"/>
              <w:rPr/>
            </w:pPr>
            <w:r>
              <w:rPr/>
            </w:r>
          </w:p>
          <w:p>
            <w:pPr>
              <w:pStyle w:val="normal1"/>
              <w:spacing w:before="80" w:after="80"/>
              <w:jc w:val="start"/>
              <w:rPr/>
            </w:pPr>
            <w:r>
              <w:rPr>
                <w:sz w:val="28"/>
                <w:szCs w:val="28"/>
              </w:rPr>
              <w:t xml:space="preserve">01 8259</w:t>
            </w:r>
          </w:p>
        </w:tc>
      </w:tr>
    </w:tbl>
    <w:p>
      <w:pPr>
        <w:pStyle w:val="normal1"/>
        <w:keepNext w:val="true"/>
        <w:keepLines/>
        <w:tabs>
          <w:tab w:val="clear" w:pos="709"/>
          <w:tab w:val="left" w:pos="7920" w:leader="none"/>
        </w:tabs>
        <w:spacing w:before="240" w:after="360"/>
        <w:jc w:val="right"/>
        <w:rPr/>
      </w:pPr>
      <w:r>
        <w:rPr>
          <w:sz w:val="28"/>
          <w:szCs w:val="28"/>
        </w:rPr>
        <w:t xml:space="preserve">Vydána 2015, 37 stran</w:t>
      </w:r>
    </w:p>
    <w:p>
      <w:pPr>
        <w:pStyle w:val="Heading1"/>
        <w:ind w:hanging="0" w:start="0"/>
        <w:rPr/>
      </w:pPr>
      <w:bookmarkStart w:id="2" w:name="h.1fob9te"/>
      <w:bookmarkEnd w:id="2"/>
      <w:r>
        <w:rPr/>
        <w:t>Úvod</w:t>
      </w:r>
    </w:p>
    <w:p>
      <w:pPr>
        <w:pStyle w:val="normal1"/>
        <w:rPr/>
      </w:pPr>
      <w:r>
        <w:t xml:space="preserve">Technická specifikace ISO 21219 stanovuje formát a protokol TPEG určený pro poskytování informací o dopravě koncovým uživatelům. TPEG je určen pro média s vysokou přenosovou kapacitou, umožňuje informace členit strukturovaně se zvyšující se mírou detailů a komplexně popisovat polohu.</w:t>
      </w:r>
    </w:p>
    <w:p>
      <w:pPr>
        <w:pStyle w:val="normal1"/>
        <w:rPr/>
      </w:pPr>
      <w:r>
        <w:t xml:space="preserve">Jednotlivé oblasti dopravních událostí jsou v TPEG popsány odděleně, pomocí platformě nezávislého modelu (UML) a dvou odvozených platformě závislých modelů (binární a XML). Části specifikace stanovují pravidla tvorby modelu jeho převodu do platformě závislé podoby.</w:t>
      </w:r>
    </w:p>
    <w:p>
      <w:pPr>
        <w:pStyle w:val="normal1"/>
        <w:rPr/>
      </w:pPr>
      <w:r>
        <w:t xml:space="preserve">Více informací o kontextu TPEG je obsaženo v úvodu extraktu k části 1 normy TPEG (21219-1).</w:t>
      </w:r>
    </w:p>
    <w:p>
      <w:pPr>
        <w:pStyle w:val="normal1"/>
        <w:rPr/>
      </w:pPr>
      <w:r>
        <w:t xml:space="preserve">Technická specifikace ISO 21219 se zabývá druhou generací protokolu TPEG, označovaným zkratkou TPEG2. Rozlišení TPEG/TPEG1/TPEG2 se většinou uvádí pouze v úvodní části norem/specifikací, zatímco ostatní kapitoly již mezi TPEG a TPEG2 nerozlišují - to je implicitní dle kontextu.</w:t>
      </w:r>
    </w:p>
    <w:p>
      <w:pPr>
        <w:pStyle w:val="normal1"/>
        <w:rPr/>
      </w:pPr>
      <w:bookmarkStart w:id="3" w:name="h.z5pl7i5nnkj9"/>
      <w:bookmarkEnd w:id="3"/>
      <w:r>
        <w:t xml:space="preserve">Tento extrakt (dále jen “popisovaný dokument”) popisuje část 4 normy TPEG, která řeší pravidla pro konverzi z UML do XML.</w:t>
      </w:r>
    </w:p>
    <w:p>
      <w:pPr>
        <w:pStyle w:val="Poznmka"/>
        <w:rPr/>
      </w:pPr>
      <w:r>
        <w:rPr/>
        <w:t>Poznámka 1: Extrakt přejímá původní číslování kapitol.</w:t>
      </w:r>
    </w:p>
    <w:p>
      <w:pPr>
        <w:pStyle w:val="Heading1"/>
        <w:ind w:hanging="0" w:start="0"/>
        <w:rPr/>
      </w:pPr>
      <w:bookmarkStart w:id="4" w:name="h.iq4c9lk7sli0"/>
      <w:bookmarkEnd w:id="4"/>
      <w:r>
        <w:rPr/>
        <w:t>Užití</w:t>
      </w:r>
    </w:p>
    <w:p>
      <w:pPr>
        <w:pStyle w:val="Textnormy"/>
        <w:rPr/>
      </w:pPr>
      <w:r>
        <w:rPr/>
        <w:t>Popisovaný dokument stanoví pravidla pro převod UML modelu aplikace TPEG do platformě závislého popisu tzv. XML, ve formě XML schématu (tpegML) vhodného pro popis a validaci aplikace TPEG v prostředí Internetu. Aby bylo možno popisovaný dokument použít, musí UML model aplikace TPEG (a tedy i s tím souvisící norma) existovat. Vzniklý binární formát slouží jednak jako šablona pro testy rozhraní, tak i jako “obsah”, který je následně vložen do části specifikace TPEG popisující binární formát, vytvořené podle šablony ISO/TS 21219-2.</w:t>
      </w:r>
    </w:p>
    <w:p>
      <w:pPr>
        <w:pStyle w:val="Textnormy"/>
        <w:rPr/>
      </w:pPr>
      <w:r>
        <w:rPr/>
        <w:t xml:space="preserve">Z výše uvedeného plyne, že je popisovaný dokument primárně použitelný tvůrci norem TPEG a správci datových struktur TPEG. </w:t>
      </w:r>
    </w:p>
    <w:p>
      <w:pPr>
        <w:pStyle w:val="Textnormy"/>
        <w:rPr/>
      </w:pPr>
      <w:r>
        <w:rPr/>
        <w:t>Pro ostatní tvůrce norem může být tato norma inspirací věcnosti a konkrétnosti s jakou může být norma/specifikace vytvořena. Popisovaný dokument neobsahuje žádný zbytečný text, jakýkoliv další redukční zásah by již přinesl i redukci informace.</w:t>
      </w:r>
    </w:p>
    <w:p>
      <w:pPr>
        <w:pStyle w:val="Textnormy"/>
        <w:rPr>
          <w:sz w:val="22"/>
          <w:szCs w:val="22"/>
        </w:rPr>
      </w:pPr>
      <w:r>
        <w:rPr/>
        <w:t>Tvůrce norem použije popisovaný dokument v krocích 3-4 následujícího postupu:</w:t>
      </w:r>
    </w:p>
    <w:p>
      <w:pPr>
        <w:pStyle w:val="normal1"/>
        <w:numPr>
          <w:ilvl w:val="0"/>
          <w:numId w:val="6"/>
        </w:numPr>
        <w:spacing w:lineRule="auto" w:line="276" w:before="0" w:after="120"/>
        <w:ind w:hanging="360" w:start="720" w:end="0"/>
        <w:contextualSpacing/>
        <w:rPr/>
      </w:pPr>
      <w:r>
        <w:rPr/>
        <w:t>vytvoří a podrobně okomentuje UML model navrhované aplikace TPEG, který bude respektovat pravidla daná popisovaným dokumentem (ISO/TS 21219-2),</w:t>
      </w:r>
    </w:p>
    <w:p>
      <w:pPr>
        <w:pStyle w:val="normal1"/>
        <w:numPr>
          <w:ilvl w:val="0"/>
          <w:numId w:val="6"/>
        </w:numPr>
        <w:spacing w:lineRule="auto" w:line="276" w:before="0" w:after="120"/>
        <w:ind w:hanging="360" w:start="720" w:end="0"/>
        <w:contextualSpacing/>
        <w:rPr/>
      </w:pPr>
      <w:r>
        <w:t xml:space="preserve">zkopíruje z popisovaného dokumentu předem připravenou šablonu i s úvodními texty,</w:t>
      </w:r>
    </w:p>
    <w:p>
      <w:pPr>
        <w:pStyle w:val="normal1"/>
        <w:numPr>
          <w:ilvl w:val="0"/>
          <w:numId w:val="6"/>
        </w:numPr>
        <w:spacing w:lineRule="auto" w:line="276" w:before="0" w:after="120"/>
        <w:ind w:hanging="360" w:start="720" w:end="0"/>
        <w:contextualSpacing/>
        <w:rPr/>
      </w:pPr>
      <w:r>
        <w:rPr/>
        <w:t>připraví a vloží další doplňkové texty a</w:t>
      </w:r>
    </w:p>
    <w:p>
      <w:pPr>
        <w:pStyle w:val="normal1"/>
        <w:numPr>
          <w:ilvl w:val="0"/>
          <w:numId w:val="6"/>
        </w:numPr>
        <w:spacing w:lineRule="auto" w:line="276" w:before="0" w:after="120"/>
        <w:ind w:hanging="360" w:start="720" w:end="0"/>
        <w:contextualSpacing/>
        <w:rPr/>
      </w:pPr>
      <w:bookmarkStart w:id="5" w:name="h.tyjcwt"/>
      <w:bookmarkEnd w:id="5"/>
      <w:r>
        <w:t xml:space="preserve">použije softwarový nástroj na vytvoření tří norem. Jedné univerzální: UML a dvou platformě závislých: XML a binární (pro DAB) viz způsob tvorby v ISO/TS 21219-3 a ISO/TS 21219-4</w:t>
      </w:r>
    </w:p>
    <w:p>
      <w:pPr>
        <w:pStyle w:val="Textnormy"/>
        <w:rPr/>
      </w:pPr>
      <w:r>
        <w:rPr/>
        <w:t>Vývojáři aplikací TPEG, ani poskytovatelé popisovaný dokument nepoužijí, použijí normu konkrétní aplikace TPEG vzniklou podle pravidel popisovaného dokumentu.</w:t>
      </w:r>
    </w:p>
    <w:p>
      <w:pPr>
        <w:pStyle w:val="Heading1"/>
        <w:ind w:hanging="0" w:start="0"/>
        <w:rPr/>
      </w:pPr>
      <w:r>
        <w:rPr/>
        <w:t>Souvisící normy</w:t>
      </w:r>
    </w:p>
    <w:p>
      <w:pPr>
        <w:pStyle w:val="normal1"/>
        <w:rPr/>
      </w:pPr>
      <w:bookmarkStart w:id="6" w:name="h.3dy6vkm"/>
      <w:bookmarkEnd w:id="6"/>
      <w:r>
        <w:t xml:space="preserve">Tento dokument uvádí 3 normativní odkazy na normu TPEG2 ISO 21219 části 2 pravidla modelování a 5 rámec služby a normu ISO 8601 stanovující standardní datové prvky.</w:t>
      </w:r>
    </w:p>
    <w:p>
      <w:pPr>
        <w:pStyle w:val="Heading1"/>
        <w:ind w:hanging="0" w:start="0"/>
        <w:rPr/>
      </w:pPr>
      <w:r>
        <w:rPr/>
        <w:t>1 Předmět</w:t>
      </w:r>
    </w:p>
    <w:p>
      <w:pPr>
        <w:pStyle w:val="normal1"/>
        <w:rPr/>
      </w:pPr>
      <w:bookmarkStart w:id="7" w:name="h.1t3h5sf"/>
      <w:bookmarkEnd w:id="7"/>
      <w:r>
        <w:rPr/>
        <w:t>Popisovaný dokument stanoví pravidla pro převod UML modelu aplikace TPEG do XML schématu používaného pro návrh a validaci XML (tpegML) dokumentů pro danou aplikaci TPEG. Obsahuje definice XML schématu i s příklady samotného XML pro abstraktní datové typy a pravidla pro konverzi složených datových typů stanovených v ISO/TS 21219-2.</w:t>
      </w:r>
    </w:p>
    <w:p>
      <w:pPr>
        <w:pStyle w:val="Heading1"/>
        <w:ind w:hanging="0" w:start="0"/>
        <w:rPr/>
      </w:pPr>
      <w:bookmarkStart w:id="8" w:name="h.2s8eyo1"/>
      <w:bookmarkEnd w:id="8"/>
      <w:r>
        <w:rPr/>
        <w:t>3 Termíny, definice a zkratky</w:t>
      </w:r>
    </w:p>
    <w:p>
      <w:pPr>
        <w:pStyle w:val="normal1"/>
        <w:rPr/>
      </w:pPr>
      <w:r>
        <w:rPr/>
        <w:t>Tato specifikace obsahuje 3 termíny s definicí a 4 vlastní zkratky a dále odkazuje na všechny zkratky použité v specifikaci ISO 21219-2: Pravidla modelování pomocí UML.</w:t>
      </w:r>
    </w:p>
    <w:p>
      <w:pPr>
        <w:pStyle w:val="normal1"/>
        <w:rPr/>
      </w:pPr>
      <w:r>
        <w:rPr>
          <w:b/>
        </w:rPr>
        <w:t>UML</w:t>
      </w:r>
      <w:r>
        <w:rPr/>
        <w:tab/>
        <w:t>unifikovaný modelovací jazyk (Unified Modeling Language)</w:t>
      </w:r>
    </w:p>
    <w:p>
      <w:pPr>
        <w:pStyle w:val="normal1"/>
        <w:rPr/>
      </w:pPr>
      <w:r>
        <w:rPr>
          <w:b/>
        </w:rPr>
        <w:t>XSD</w:t>
      </w:r>
      <w:r>
        <w:rPr/>
        <w:tab/>
        <w:t>definice schématu XML (XML schema definition)</w:t>
      </w:r>
    </w:p>
    <w:p>
      <w:pPr>
        <w:pStyle w:val="normal1"/>
        <w:rPr/>
      </w:pPr>
      <w:bookmarkStart w:id="9" w:name="h.c24denr1flkv"/>
      <w:bookmarkEnd w:id="9"/>
      <w:r>
        <w:rPr/>
        <w:t>Klíčovými jsou také (v normě nezavedené) tyto termíny:</w:t>
      </w:r>
    </w:p>
    <w:p>
      <w:pPr>
        <w:pStyle w:val="normal1"/>
        <w:rPr/>
      </w:pPr>
      <w:bookmarkStart w:id="10" w:name="h.6aysjrav7ir6"/>
      <w:bookmarkEnd w:id="10"/>
      <w:r>
        <w:rPr>
          <w:b/>
        </w:rPr>
        <w:t>aplikace TPEG</w:t>
        <w:tab/>
      </w:r>
      <w:r>
        <w:rPr/>
        <w:br/>
        <w:t xml:space="preserve">určitá oblast dopravních informací (dojezdové doby, informace o veřejné hromadné dopravě, informace o cenách benzínu, běžné dopravní informace, atp.) která je popsána jedním UML modelem (a následně několika částmi normy) </w:t>
      </w:r>
    </w:p>
    <w:p>
      <w:pPr>
        <w:pStyle w:val="normal1"/>
        <w:rPr/>
      </w:pPr>
      <w:bookmarkStart w:id="11" w:name="h.285ynfp7rsww"/>
      <w:bookmarkEnd w:id="11"/>
      <w:r>
        <w:rPr>
          <w:b/>
        </w:rPr>
        <w:t>tabulka TPEG</w:t>
        <w:tab/>
      </w:r>
      <w:r>
        <w:rPr/>
        <w:br/>
        <w:t xml:space="preserve">tabulka obsahující výčet všech hodnot konkrétního atributu i s jejich popisem a příkladem </w:t>
      </w:r>
    </w:p>
    <w:p>
      <w:pPr>
        <w:pStyle w:val="normal1"/>
        <w:rPr/>
      </w:pPr>
      <w:bookmarkStart w:id="12" w:name="h.4d34og8"/>
      <w:bookmarkEnd w:id="12"/>
      <w:r>
        <w:rPr>
          <w:b/>
        </w:rPr>
        <w:t>stereotypování</w:t>
        <w:br/>
      </w:r>
      <w:r>
        <w:rPr/>
        <w:t>mechanismus rozšíření modelu UML o nové prvky odvozené z původních prvků, ale s přiřazenými konkrétními hodnotami atributů, specifickým propojením více základních prvků dohromady apod.</w:t>
      </w:r>
    </w:p>
    <w:p>
      <w:pPr>
        <w:pStyle w:val="Textnormy"/>
        <w:rPr>
          <w:rFonts w:cs="Arial"/>
        </w:rPr>
      </w:pPr>
      <w:r>
        <w:rPr>
          <w:rFonts w:cs="Arial"/>
        </w:rPr>
        <w:t xml:space="preserve">Další termíny a zkratky z oboru ITS jsou obsaženy ve slovníku ITS terminology (</w:t>
      </w:r>
      <w:hyperlink r:id="rId13">
        <w:r>
          <w:rPr>
            <w:rStyle w:val="Hyperlink"/>
            <w:rFonts w:cs="Arial"/>
          </w:rPr>
          <w:t xml:space="preserve">www.ITSterminology.org</w:t>
        </w:r>
      </w:hyperlink>
      <w:r>
        <w:rPr>
          <w:rFonts w:cs="Arial"/>
        </w:rPr>
        <w:t xml:space="preserve">).</w:t>
      </w:r>
    </w:p>
    <w:p>
      <w:pPr>
        <w:pStyle w:val="Heading1"/>
        <w:ind w:hanging="0" w:start="0"/>
        <w:rPr/>
      </w:pPr>
      <w:bookmarkStart w:id="13" w:name="h.17dp8vu"/>
      <w:bookmarkEnd w:id="13"/>
      <w:r>
        <w:rPr/>
        <w:t>4 Pravidla pro konverzi popisu z UML do XML</w:t>
      </w:r>
    </w:p>
    <w:p>
      <w:pPr>
        <w:pStyle w:val="normal1"/>
        <w:rPr/>
      </w:pPr>
      <w:r>
        <w:rPr/>
        <w:t>Tato kapitola stanovuje veškerá pravidla, která jsou potřebná pro převod UML modelu aplikace TPEG do formy schématu XML. Texty, které mají být přímo (se záměnami klíčových slov) převzaty do cílové normy, jsou v popisovaném dokumentu zřetelně vyznačeny.</w:t>
      </w:r>
    </w:p>
    <w:p>
      <w:pPr>
        <w:pStyle w:val="normal1"/>
        <w:rPr/>
      </w:pPr>
      <w:r>
        <w:rPr>
          <w:b/>
        </w:rPr>
        <w:t xml:space="preserve">Kapitola 4.1 </w:t>
      </w:r>
      <w:r>
        <w:rPr/>
        <w:t>stanovuje popis formátu XML schématu, který bude normativní přílohou vytvářené normy (části specifikace), název přílohy je odvozen z názvu UML modelu. Struktura přílohy je stanovena na 2 kapitoly (úvod a definice aplikačních datových typů). Pro každou kapitolu přílohy je stanoven buď přímo obsah, nebo způsob jeho tvorby.</w:t>
      </w:r>
    </w:p>
    <w:p>
      <w:pPr>
        <w:pStyle w:val="normal1"/>
        <w:rPr/>
      </w:pPr>
      <w:r>
        <w:rPr/>
        <w:t xml:space="preserve">Pro úvod přílohy popisovaný dokument stanovuje výchozí text. </w:t>
      </w:r>
    </w:p>
    <w:p>
      <w:pPr>
        <w:pStyle w:val="normal1"/>
        <w:rPr/>
      </w:pPr>
      <w:r>
        <w:rPr>
          <w:b/>
        </w:rPr>
        <w:t>Kapitola 4.2</w:t>
      </w:r>
      <w:r>
        <w:rPr/>
        <w:t xml:space="preserve"> stanovuje pravidla pro obsah tpegML schématu, který popisuje danou aplikaci TPEG.</w:t>
      </w:r>
    </w:p>
    <w:p>
      <w:pPr>
        <w:pStyle w:val="normal1"/>
        <w:rPr/>
      </w:pPr>
      <w:r>
        <w:rPr>
          <w:b/>
        </w:rPr>
        <w:t>Kapitola 4.3</w:t>
      </w:r>
      <w:r>
        <w:rPr/>
        <w:t xml:space="preserve"> stanovuje pravidla pro obsah XML dokumentu definovaného prostřednictvím tpegML schématu, popisujícího danou aplikaci TPEG.</w:t>
      </w:r>
    </w:p>
    <w:p>
      <w:pPr>
        <w:pStyle w:val="normal1"/>
        <w:rPr/>
      </w:pPr>
      <w:r>
        <w:rPr>
          <w:b/>
        </w:rPr>
        <w:t>Kapitola 4.4</w:t>
      </w:r>
      <w:r>
        <w:rPr/>
        <w:t xml:space="preserve"> stanovuje rozsah XML datových typů, například typ “xs:unsignedByte” od 0 do 255.</w:t>
      </w:r>
    </w:p>
    <w:p>
      <w:pPr>
        <w:pStyle w:val="normal1"/>
        <w:rPr/>
      </w:pPr>
      <w:r>
        <w:rPr>
          <w:b/>
        </w:rPr>
        <w:t>Kapitola 4.5</w:t>
      </w:r>
      <w:r>
        <w:rPr/>
        <w:t xml:space="preserve"> stanovuje pravidla pro konverzi abstraktních datových typů z UML do XSD (definice XML schématu). Odkazuje na Přílohu A, kde jsou schémata pro jednotlivé typy definována. Stanovuje a doporučuje další obsah, jako například verzování, způsob importu dat a další.</w:t>
      </w:r>
    </w:p>
    <w:p>
      <w:pPr>
        <w:pStyle w:val="normal1"/>
        <w:rPr/>
      </w:pPr>
      <w:r>
        <w:rPr>
          <w:b/>
        </w:rPr>
        <w:t>Kapitola 4.6</w:t>
      </w:r>
      <w:r>
        <w:rPr/>
        <w:t xml:space="preserve"> obsahuje stručný popis a ukázku konverze standardních tabulek TPEG do XSD a XML.</w:t>
      </w:r>
    </w:p>
    <w:p>
      <w:pPr>
        <w:pStyle w:val="normal1"/>
        <w:rPr/>
      </w:pPr>
      <w:r>
        <w:rPr>
          <w:b/>
        </w:rPr>
        <w:t>Kapitola 4.7</w:t>
      </w:r>
      <w:r>
        <w:rPr/>
        <w:t xml:space="preserve"> obsahuje pravidla a ukázku konverze aplikačně závislých tabulek (stereotypovaných) tzv. “výčtových typů” do XSD a XML.</w:t>
      </w:r>
    </w:p>
    <w:p>
      <w:pPr>
        <w:pStyle w:val="normal1"/>
        <w:rPr/>
      </w:pPr>
      <w:r>
        <w:rPr>
          <w:b/>
        </w:rPr>
        <w:t xml:space="preserve">Kapitola 4.8 </w:t>
      </w:r>
      <w:r>
        <w:rPr/>
        <w:t>stanovuje pravidla a příklady konverze tzv. “přepínatelných tabulek” do XSD a XML.</w:t>
      </w:r>
    </w:p>
    <w:p>
      <w:pPr>
        <w:pStyle w:val="normal1"/>
        <w:rPr/>
      </w:pPr>
      <w:r>
        <w:rPr>
          <w:b/>
        </w:rPr>
        <w:t>Kapitola 4.9</w:t>
      </w:r>
      <w:r>
        <w:rPr/>
        <w:t xml:space="preserve"> obsahuje způsob konverze třídy UML stereotypované jako &lt;&lt;external&gt;&gt;. Třída external odkazuje na externí specifikaci v binární nebo XML podobě. Pravidla jsou definována pro tyto typy externích specifikací:</w:t>
      </w:r>
    </w:p>
    <w:p>
      <w:pPr>
        <w:pStyle w:val="normal1"/>
        <w:numPr>
          <w:ilvl w:val="0"/>
          <w:numId w:val="5"/>
        </w:numPr>
        <w:spacing w:lineRule="auto" w:line="276" w:before="0" w:after="120"/>
        <w:ind w:firstLine="360" w:start="720" w:end="0"/>
        <w:contextualSpacing/>
        <w:rPr/>
      </w:pPr>
      <w:r>
        <w:rPr/>
        <w:t>specifikace aplikace TISA TPEG</w:t>
      </w:r>
    </w:p>
    <w:p>
      <w:pPr>
        <w:pStyle w:val="normal1"/>
        <w:numPr>
          <w:ilvl w:val="0"/>
          <w:numId w:val="5"/>
        </w:numPr>
        <w:spacing w:lineRule="auto" w:line="276" w:before="0" w:after="120"/>
        <w:ind w:firstLine="360" w:start="720" w:end="0"/>
        <w:contextualSpacing/>
        <w:rPr/>
      </w:pPr>
      <w:r>
        <w:rPr/>
        <w:t>specifikace aplikace TPEG pomocí XML schématu</w:t>
      </w:r>
    </w:p>
    <w:p>
      <w:pPr>
        <w:pStyle w:val="normal1"/>
        <w:numPr>
          <w:ilvl w:val="0"/>
          <w:numId w:val="5"/>
        </w:numPr>
        <w:spacing w:lineRule="auto" w:line="276" w:before="0" w:after="120"/>
        <w:ind w:firstLine="360" w:start="720" w:end="0"/>
        <w:contextualSpacing/>
        <w:rPr/>
      </w:pPr>
      <w:r>
        <w:rPr/>
        <w:t>specifikace aplikace TPEG v binární podobě</w:t>
      </w:r>
    </w:p>
    <w:p>
      <w:pPr>
        <w:pStyle w:val="Textnormy"/>
        <w:rPr/>
      </w:pPr>
      <w:r>
        <w:rPr/>
        <w:t>Stanoveny jsou zejména speciální tagy, prefixy a jmenné prostory pro jejich uvedení ve schématu. Příklad pro binární definici třídy stereotypované jako &lt;&lt;external&gt;&gt; následuje na obrázku 1.</w:t>
      </w:r>
    </w:p>
    <w:p>
      <w:pPr>
        <w:pStyle w:val="normal1"/>
        <w:jc w:val="center"/>
        <w:rPr/>
      </w:pPr>
      <w:r>
        <w:rPr>
          <w:lang w:val="en-US" w:eastAsia="en-US"/>
        </w:rPr>
        <w:drawing>
          <wp:inline distT="0" distB="0" distL="0" distR="0">
            <wp:extent cx="5754370" cy="3441700"/>
            <wp:effectExtent l="0" t="0" r="0" b="0"/>
            <wp:docPr id="1" name="image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4.png"/>
                    <pic:cNvPicPr>
                      <a:picLocks noChangeAspect="1" noChangeArrowheads="1"/>
                    </pic:cNvPicPr>
                  </pic:nvPicPr>
                  <pic:blipFill>
                    <a:blip r:embed="rId3"/>
                    <a:srcRect l="-3" t="-5" r="-3" b="-5"/>
                    <a:stretch>
                      <a:fillRect/>
                    </a:stretch>
                  </pic:blipFill>
                  <pic:spPr bwMode="auto">
                    <a:xfrm>
                      <a:off x="0" y="0"/>
                      <a:ext cx="5754370" cy="3441700"/>
                    </a:xfrm>
                    <a:prstGeom prst="rect">
                      <a:avLst/>
                    </a:prstGeom>
                    <a:noFill/>
                  </pic:spPr>
                </pic:pic>
              </a:graphicData>
            </a:graphic>
          </wp:inline>
        </w:drawing>
      </w:r>
    </w:p>
    <w:p>
      <w:pPr>
        <w:pStyle w:val="NadpisTabObr"/>
        <w:rPr/>
      </w:pPr>
      <w:r>
        <w:rPr/>
        <w:t>Obrázek 1</w:t>
        <w:softHyphen/>
        <w:t xml:space="preserve"> – Příklad použití třídy external zahrnující binární popis do popisu XML viz atribut 3 </w:t>
        <w:br/>
        <w:t>(ukázka z textu normy)</w:t>
      </w:r>
    </w:p>
    <w:p>
      <w:pPr>
        <w:pStyle w:val="normal1"/>
        <w:rPr>
          <w:b/>
        </w:rPr>
      </w:pPr>
      <w:r>
        <w:rPr>
          <w:b/>
        </w:rPr>
      </w:r>
    </w:p>
    <w:p>
      <w:pPr>
        <w:pStyle w:val="normal1"/>
        <w:rPr/>
      </w:pPr>
      <w:r>
        <w:rPr>
          <w:b/>
        </w:rPr>
        <w:t>Kapitola 4.10</w:t>
      </w:r>
      <w:r>
        <w:rPr/>
        <w:t xml:space="preserve"> stanovuje pravidla pro aplikační převod datových typů složených pomocí vztahu “odkaz na” tzv. složené datové typy (compound data types). Jsou stanovena 4 základní pravidla, přičemž pravidlo 3 se skládá z pěti dalších pravidel a pravidlo 4 ze dvou dalších pravidel. Jedná se o následující pravidla uvádějící mimo jiné povinné prvky schématu XML:</w:t>
      </w:r>
    </w:p>
    <w:p>
      <w:pPr>
        <w:pStyle w:val="normal1"/>
        <w:numPr>
          <w:ilvl w:val="0"/>
          <w:numId w:val="7"/>
        </w:numPr>
        <w:spacing w:lineRule="auto" w:line="276" w:before="0" w:after="120"/>
        <w:ind w:hanging="360" w:start="720" w:end="0"/>
        <w:contextualSpacing/>
        <w:rPr/>
      </w:pPr>
      <w:r>
        <w:rPr/>
        <w:t>pro převod (kořenové) třídy (konverze do typu ComplexType a kořenové třídy, datová struktura se překládá stejně)</w:t>
      </w:r>
    </w:p>
    <w:p>
      <w:pPr>
        <w:pStyle w:val="normal1"/>
        <w:numPr>
          <w:ilvl w:val="0"/>
          <w:numId w:val="7"/>
        </w:numPr>
        <w:spacing w:lineRule="auto" w:line="276" w:before="0" w:after="120"/>
        <w:ind w:hanging="360" w:start="720" w:end="0"/>
        <w:contextualSpacing/>
        <w:rPr/>
      </w:pPr>
      <w:r>
        <w:rPr/>
        <w:t>pro kořenové elementy (jako globálně platných elementů)</w:t>
      </w:r>
    </w:p>
    <w:p>
      <w:pPr>
        <w:pStyle w:val="normal1"/>
        <w:numPr>
          <w:ilvl w:val="0"/>
          <w:numId w:val="7"/>
        </w:numPr>
        <w:spacing w:lineRule="auto" w:line="276" w:before="0" w:after="120"/>
        <w:ind w:hanging="360" w:start="720" w:end="0"/>
        <w:contextualSpacing/>
        <w:rPr/>
      </w:pPr>
      <w:r>
        <w:rPr/>
        <w:t>pro atributy:</w:t>
      </w:r>
    </w:p>
    <w:p>
      <w:pPr>
        <w:pStyle w:val="normal1"/>
        <w:numPr>
          <w:ilvl w:val="1"/>
          <w:numId w:val="7"/>
        </w:numPr>
        <w:spacing w:lineRule="auto" w:line="276" w:before="0" w:after="120"/>
        <w:ind w:hanging="360" w:start="1440" w:end="0"/>
        <w:contextualSpacing/>
        <w:rPr/>
      </w:pPr>
      <w:r>
        <w:rPr/>
        <w:t>pro konverzi datových atributů odkazuje na pravidla 4.5, 4.7 a 4.10</w:t>
      </w:r>
    </w:p>
    <w:p>
      <w:pPr>
        <w:pStyle w:val="normal1"/>
        <w:numPr>
          <w:ilvl w:val="1"/>
          <w:numId w:val="7"/>
        </w:numPr>
        <w:spacing w:lineRule="auto" w:line="276" w:before="0" w:after="120"/>
        <w:ind w:hanging="360" w:start="1440" w:end="0"/>
        <w:contextualSpacing/>
        <w:rPr/>
      </w:pPr>
      <w:r>
        <w:rPr/>
        <w:t>pro řazení (musí být zachováno)</w:t>
      </w:r>
    </w:p>
    <w:p>
      <w:pPr>
        <w:pStyle w:val="normal1"/>
        <w:numPr>
          <w:ilvl w:val="1"/>
          <w:numId w:val="7"/>
        </w:numPr>
        <w:spacing w:lineRule="auto" w:line="276" w:before="0" w:after="120"/>
        <w:ind w:hanging="360" w:start="1440" w:end="0"/>
        <w:contextualSpacing/>
        <w:rPr/>
      </w:pPr>
      <w:r>
        <w:rPr/>
        <w:t>pro jednoduchou multiplicitu (atribut je vždy přítomen)</w:t>
      </w:r>
    </w:p>
    <w:p>
      <w:pPr>
        <w:pStyle w:val="normal1"/>
        <w:numPr>
          <w:ilvl w:val="1"/>
          <w:numId w:val="7"/>
        </w:numPr>
        <w:spacing w:lineRule="auto" w:line="276" w:before="0" w:after="120"/>
        <w:ind w:hanging="360" w:start="1440" w:end="0"/>
        <w:contextualSpacing/>
        <w:rPr/>
      </w:pPr>
      <w:r>
        <w:rPr/>
        <w:t>pro vícenásobnou multiplicitu [0 .. 1] či [0 .. n] a [1 .. n]</w:t>
      </w:r>
    </w:p>
    <w:p>
      <w:pPr>
        <w:pStyle w:val="normal1"/>
        <w:numPr>
          <w:ilvl w:val="1"/>
          <w:numId w:val="7"/>
        </w:numPr>
        <w:spacing w:lineRule="auto" w:line="276" w:before="0" w:after="120"/>
        <w:ind w:hanging="360" w:start="1440" w:end="0"/>
        <w:contextualSpacing/>
        <w:rPr/>
      </w:pPr>
      <w:r>
        <w:rPr/>
        <w:t>pro řazené a neřazené skupiny a komponent (viz obrázek 2)</w:t>
      </w:r>
    </w:p>
    <w:p>
      <w:pPr>
        <w:pStyle w:val="normal1"/>
        <w:numPr>
          <w:ilvl w:val="0"/>
          <w:numId w:val="7"/>
        </w:numPr>
        <w:spacing w:lineRule="auto" w:line="276" w:before="0" w:after="120"/>
        <w:ind w:hanging="360" w:start="720" w:end="0"/>
        <w:contextualSpacing/>
        <w:rPr/>
      </w:pPr>
      <w:r>
        <w:rPr/>
        <w:t>pro abstraktní třídy</w:t>
      </w:r>
    </w:p>
    <w:p>
      <w:pPr>
        <w:pStyle w:val="normal1"/>
        <w:numPr>
          <w:ilvl w:val="1"/>
          <w:numId w:val="7"/>
        </w:numPr>
        <w:spacing w:lineRule="auto" w:line="276" w:before="0" w:after="120"/>
        <w:ind w:hanging="360" w:start="1440" w:end="0"/>
        <w:contextualSpacing/>
        <w:rPr/>
      </w:pPr>
      <w:r>
        <w:rPr/>
        <w:t>pro dědičnost (pomocí kopírování z rodiče)</w:t>
      </w:r>
    </w:p>
    <w:p>
      <w:pPr>
        <w:pStyle w:val="normal1"/>
        <w:numPr>
          <w:ilvl w:val="1"/>
          <w:numId w:val="7"/>
        </w:numPr>
        <w:spacing w:lineRule="auto" w:line="276" w:before="0" w:after="120"/>
        <w:ind w:hanging="360" w:start="1440" w:end="0"/>
        <w:contextualSpacing/>
        <w:rPr/>
      </w:pPr>
      <w:r>
        <w:rPr/>
        <w:t>pro přepínání (příklad užití jedné z více možností třídy)</w:t>
      </w:r>
    </w:p>
    <w:p>
      <w:pPr>
        <w:pStyle w:val="normal1"/>
        <w:jc w:val="center"/>
        <w:rPr/>
      </w:pPr>
      <w:r>
        <w:rPr>
          <w:lang w:val="en-US" w:eastAsia="en-US"/>
        </w:rPr>
        <w:drawing>
          <wp:inline distT="0" distB="0" distL="0" distR="0">
            <wp:extent cx="5764530" cy="2196465"/>
            <wp:effectExtent l="0" t="0" r="0" b="0"/>
            <wp:docPr id="2" name="image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7.png"/>
                    <pic:cNvPicPr>
                      <a:picLocks noChangeAspect="1" noChangeArrowheads="1"/>
                    </pic:cNvPicPr>
                  </pic:nvPicPr>
                  <pic:blipFill>
                    <a:blip r:embed="rId4"/>
                    <a:srcRect l="-2" t="-6" r="-2" b="-6"/>
                    <a:stretch>
                      <a:fillRect/>
                    </a:stretch>
                  </pic:blipFill>
                  <pic:spPr bwMode="auto">
                    <a:xfrm>
                      <a:off x="0" y="0"/>
                      <a:ext cx="5764530" cy="2196465"/>
                    </a:xfrm>
                    <a:prstGeom prst="rect">
                      <a:avLst/>
                    </a:prstGeom>
                    <a:noFill/>
                  </pic:spPr>
                </pic:pic>
              </a:graphicData>
            </a:graphic>
          </wp:inline>
        </w:drawing>
      </w:r>
    </w:p>
    <w:p>
      <w:pPr>
        <w:pStyle w:val="NadpisTabObr"/>
        <w:rPr/>
      </w:pPr>
      <w:r>
        <w:rPr/>
        <w:t>Obrázek 2 – Příklad převodu z UML do XSD podle pravidla 3e</w:t>
      </w:r>
    </w:p>
    <w:p>
      <w:pPr>
        <w:pStyle w:val="normal1"/>
        <w:rPr/>
      </w:pPr>
      <w:r>
        <w:rPr/>
      </w:r>
    </w:p>
    <w:p>
      <w:pPr>
        <w:pStyle w:val="normal1"/>
        <w:rPr/>
      </w:pPr>
      <w:r>
        <w:rPr>
          <w:b/>
        </w:rPr>
        <w:t>Kapitola 4.11</w:t>
      </w:r>
      <w:r>
        <w:rPr/>
        <w:t xml:space="preserve"> obsahuje příklad  tpegML schématu (2,5 strany) a souvisejícího XML (půl strany A4).</w:t>
      </w:r>
    </w:p>
    <w:p>
      <w:pPr>
        <w:pStyle w:val="Heading1"/>
        <w:ind w:hanging="0" w:start="0"/>
        <w:rPr/>
      </w:pPr>
      <w:r>
        <w:rPr/>
      </w:r>
      <w:bookmarkStart w:id="14" w:name="h.3rdcrjn"/>
      <w:bookmarkEnd w:id="14"/>
    </w:p>
    <w:p>
      <w:pPr>
        <w:pStyle w:val="Heading1"/>
        <w:ind w:hanging="0" w:start="0"/>
        <w:rPr/>
      </w:pPr>
      <w:r>
        <w:rPr/>
        <w:t>Normativní příloha A – Definice schématu datových typů TPEG</w:t>
      </w:r>
    </w:p>
    <w:p>
      <w:pPr>
        <w:pStyle w:val="Textnormy"/>
        <w:rPr/>
      </w:pPr>
      <w:r>
        <w:rPr/>
        <w:t>Tato příloha je rozdělena na 3 části. První obsahuje deklaraci XML schématu, druhá pomocí tabulek popisuje převod abstraktních datových typů a třetí, také pomocí tabulek, popisuje převod standardních tabulek TPEG.</w:t>
      </w:r>
    </w:p>
    <w:p>
      <w:pPr>
        <w:pStyle w:val="Textnormy"/>
        <w:rPr/>
      </w:pPr>
      <w:r>
        <w:rPr/>
        <w:t xml:space="preserve">V části </w:t>
      </w:r>
      <w:r>
        <w:rPr>
          <w:b/>
        </w:rPr>
        <w:t>A.2</w:t>
      </w:r>
      <w:r>
        <w:rPr/>
        <w:t xml:space="preserve"> se jedná o tyto abstraktní datové typy:</w:t>
      </w:r>
    </w:p>
    <w:p>
      <w:pPr>
        <w:pStyle w:val="normal1"/>
        <w:numPr>
          <w:ilvl w:val="0"/>
          <w:numId w:val="12"/>
        </w:numPr>
        <w:spacing w:lineRule="auto" w:line="276" w:before="0" w:after="120"/>
        <w:ind w:hanging="360" w:start="720" w:end="0"/>
        <w:contextualSpacing/>
        <w:rPr/>
      </w:pPr>
      <w:r>
        <w:rPr/>
        <w:t>jednoduché (Boolean, BitArray),</w:t>
      </w:r>
    </w:p>
    <w:p>
      <w:pPr>
        <w:pStyle w:val="normal1"/>
        <w:numPr>
          <w:ilvl w:val="0"/>
          <w:numId w:val="12"/>
        </w:numPr>
        <w:spacing w:lineRule="auto" w:line="276" w:before="0" w:after="120"/>
        <w:ind w:hanging="360" w:start="720" w:end="0"/>
        <w:contextualSpacing/>
        <w:rPr/>
      </w:pPr>
      <w:r>
        <w:rPr/>
        <w:t>složité (DateTime, DaySelector),</w:t>
      </w:r>
    </w:p>
    <w:p>
      <w:pPr>
        <w:pStyle w:val="normal1"/>
        <w:numPr>
          <w:ilvl w:val="0"/>
          <w:numId w:val="12"/>
        </w:numPr>
        <w:spacing w:lineRule="auto" w:line="276" w:before="0" w:after="120"/>
        <w:ind w:hanging="360" w:start="720" w:end="0"/>
        <w:contextualSpacing/>
        <w:rPr/>
      </w:pPr>
      <w:r>
        <w:rPr/>
        <w:t>s plovoucí řádovou čárkou (FixedPointNumber, Float),</w:t>
      </w:r>
    </w:p>
    <w:p>
      <w:pPr>
        <w:pStyle w:val="normal1"/>
        <w:numPr>
          <w:ilvl w:val="0"/>
          <w:numId w:val="12"/>
        </w:numPr>
        <w:spacing w:lineRule="auto" w:line="276" w:before="0" w:after="120"/>
        <w:ind w:hanging="360" w:start="720" w:end="0"/>
        <w:contextualSpacing/>
        <w:rPr/>
      </w:pPr>
      <w:r>
        <w:rPr/>
        <w:t xml:space="preserve">celočíselné (IntSiTi, IntSiLi, IntSi24, IntSiLo, IntSiLoMB, IntUnTi, IntUnLi, IntUn24, IntUnLo, IntUnLoMB), </w:t>
      </w:r>
    </w:p>
    <w:p>
      <w:pPr>
        <w:pStyle w:val="normal1"/>
        <w:numPr>
          <w:ilvl w:val="0"/>
          <w:numId w:val="12"/>
        </w:numPr>
        <w:spacing w:lineRule="auto" w:line="276" w:before="0" w:after="120"/>
        <w:ind w:hanging="360" w:start="720" w:end="0"/>
        <w:contextualSpacing/>
        <w:rPr/>
      </w:pPr>
      <w:r>
        <w:rPr/>
        <w:t>specifické celočíselné (DistanceMetres, DistanceCentiMetres, Duration, FixedPercentage),</w:t>
      </w:r>
    </w:p>
    <w:p>
      <w:pPr>
        <w:pStyle w:val="normal1"/>
        <w:numPr>
          <w:ilvl w:val="0"/>
          <w:numId w:val="12"/>
        </w:numPr>
        <w:spacing w:lineRule="auto" w:line="276" w:before="0" w:after="120"/>
        <w:ind w:hanging="360" w:start="720" w:end="0"/>
        <w:contextualSpacing/>
        <w:rPr/>
      </w:pPr>
      <w:r>
        <w:rPr/>
        <w:t>řetězce znaků (ShortString, LongString, LocalisedShortString, LocalisedLongString) a</w:t>
      </w:r>
    </w:p>
    <w:p>
      <w:pPr>
        <w:pStyle w:val="normal1"/>
        <w:numPr>
          <w:ilvl w:val="0"/>
          <w:numId w:val="12"/>
        </w:numPr>
        <w:spacing w:lineRule="auto" w:line="276" w:before="0" w:after="120"/>
        <w:ind w:hanging="360" w:start="720" w:end="0"/>
        <w:contextualSpacing/>
        <w:rPr/>
      </w:pPr>
      <w:r>
        <w:rPr/>
        <w:t>různé (MajorMinorVersion, Probability, ServiceIdentifier, TimeInterval, TimePoint, TimeToolkit, Velocity, Weight). Viz příklad na obrázku 3.</w:t>
      </w:r>
    </w:p>
    <w:p>
      <w:pPr>
        <w:pStyle w:val="normal1"/>
        <w:spacing w:lineRule="auto" w:line="276" w:before="0" w:after="120"/>
        <w:ind w:start="720" w:end="0"/>
        <w:contextualSpacing/>
        <w:rPr/>
      </w:pPr>
      <w:r>
        <w:rPr/>
      </w:r>
    </w:p>
    <w:p>
      <w:pPr>
        <w:pStyle w:val="normal1"/>
        <w:jc w:val="center"/>
        <w:rPr/>
      </w:pPr>
      <w:r>
        <w:rPr>
          <w:lang w:val="en-US" w:eastAsia="en-US"/>
        </w:rPr>
        <w:drawing>
          <wp:inline distT="0" distB="0" distL="0" distR="0">
            <wp:extent cx="5753735" cy="2110105"/>
            <wp:effectExtent l="0" t="0" r="0" b="0"/>
            <wp:docPr id="3" name="image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5.png"/>
                    <pic:cNvPicPr>
                      <a:picLocks noChangeAspect="1" noChangeArrowheads="1"/>
                    </pic:cNvPicPr>
                  </pic:nvPicPr>
                  <pic:blipFill>
                    <a:blip r:embed="rId5"/>
                    <a:srcRect l="-2" t="-7" r="-2" b="-7"/>
                    <a:stretch>
                      <a:fillRect/>
                    </a:stretch>
                  </pic:blipFill>
                  <pic:spPr bwMode="auto">
                    <a:xfrm>
                      <a:off x="0" y="0"/>
                      <a:ext cx="5753735" cy="2110105"/>
                    </a:xfrm>
                    <a:prstGeom prst="rect">
                      <a:avLst/>
                    </a:prstGeom>
                    <a:noFill/>
                  </pic:spPr>
                </pic:pic>
              </a:graphicData>
            </a:graphic>
          </wp:inline>
        </w:drawing>
      </w:r>
    </w:p>
    <w:p>
      <w:pPr>
        <w:pStyle w:val="NadpisTabObr"/>
        <w:rPr/>
      </w:pPr>
      <w:r>
        <w:rPr/>
        <w:t>Obrázek 3 – Ukázka převodu abstraktního datového typu Velocity do XSD i s příkladem a komentářem</w:t>
      </w:r>
    </w:p>
    <w:p>
      <w:pPr>
        <w:pStyle w:val="Textnormy"/>
        <w:rPr/>
      </w:pPr>
      <w:r>
        <w:rPr/>
      </w:r>
      <w:r>
        <w:br w:type="page"/>
      </w:r>
    </w:p>
    <w:p>
      <w:pPr>
        <w:pStyle w:val="normal1"/>
        <w:rPr/>
      </w:pPr>
      <w:r>
        <w:rPr/>
        <w:t xml:space="preserve">V části </w:t>
      </w:r>
      <w:r>
        <w:rPr>
          <w:b/>
        </w:rPr>
        <w:t>A.3</w:t>
      </w:r>
      <w:r>
        <w:rPr/>
        <w:t xml:space="preserve"> jsou popsány standardní tabulky TPEG:</w:t>
      </w:r>
    </w:p>
    <w:p>
      <w:pPr>
        <w:pStyle w:val="normal1"/>
        <w:numPr>
          <w:ilvl w:val="0"/>
          <w:numId w:val="11"/>
        </w:numPr>
        <w:spacing w:lineRule="auto" w:line="276" w:before="0" w:after="120"/>
        <w:ind w:hanging="360" w:start="720" w:end="0"/>
        <w:contextualSpacing/>
        <w:rPr/>
      </w:pPr>
      <w:r>
        <w:rPr/>
        <w:t xml:space="preserve">typ001:LanguageCode, </w:t>
      </w:r>
    </w:p>
    <w:p>
      <w:pPr>
        <w:pStyle w:val="normal1"/>
        <w:numPr>
          <w:ilvl w:val="0"/>
          <w:numId w:val="11"/>
        </w:numPr>
        <w:spacing w:lineRule="auto" w:line="276" w:before="0" w:after="120"/>
        <w:ind w:hanging="360" w:start="720" w:end="0"/>
        <w:contextualSpacing/>
        <w:rPr/>
      </w:pPr>
      <w:r>
        <w:rPr/>
        <w:t>typ002:SpecialDay,</w:t>
      </w:r>
    </w:p>
    <w:p>
      <w:pPr>
        <w:pStyle w:val="normal1"/>
        <w:numPr>
          <w:ilvl w:val="0"/>
          <w:numId w:val="11"/>
        </w:numPr>
        <w:spacing w:lineRule="auto" w:line="276" w:before="0" w:after="120"/>
        <w:ind w:hanging="360" w:start="720" w:end="0"/>
        <w:contextualSpacing/>
        <w:rPr/>
      </w:pPr>
      <w:r>
        <w:rPr/>
        <w:t>typ003:CurrencyType,</w:t>
      </w:r>
    </w:p>
    <w:p>
      <w:pPr>
        <w:pStyle w:val="normal1"/>
        <w:numPr>
          <w:ilvl w:val="0"/>
          <w:numId w:val="11"/>
        </w:numPr>
        <w:spacing w:lineRule="auto" w:line="276" w:before="0" w:after="120"/>
        <w:ind w:hanging="360" w:start="720" w:end="0"/>
        <w:contextualSpacing/>
        <w:rPr/>
      </w:pPr>
      <w:r>
        <w:rPr/>
        <w:t>typ004:NumericalMagnitude viz příklad na obrázku 4,</w:t>
      </w:r>
    </w:p>
    <w:p>
      <w:pPr>
        <w:pStyle w:val="normal1"/>
        <w:numPr>
          <w:ilvl w:val="0"/>
          <w:numId w:val="11"/>
        </w:numPr>
        <w:spacing w:lineRule="auto" w:line="276" w:before="0" w:after="120"/>
        <w:ind w:hanging="360" w:start="720" w:end="0"/>
        <w:contextualSpacing/>
        <w:rPr/>
      </w:pPr>
      <w:r>
        <w:rPr/>
        <w:t>typ005:CountryCode,</w:t>
      </w:r>
    </w:p>
    <w:p>
      <w:pPr>
        <w:pStyle w:val="normal1"/>
        <w:numPr>
          <w:ilvl w:val="0"/>
          <w:numId w:val="11"/>
        </w:numPr>
        <w:spacing w:lineRule="auto" w:line="276" w:before="0" w:after="120"/>
        <w:ind w:hanging="360" w:start="720" w:end="0"/>
        <w:contextualSpacing/>
        <w:rPr/>
      </w:pPr>
      <w:r>
        <w:rPr/>
        <w:t>typ006:OrientationType,</w:t>
      </w:r>
    </w:p>
    <w:p>
      <w:pPr>
        <w:pStyle w:val="normal1"/>
        <w:numPr>
          <w:ilvl w:val="0"/>
          <w:numId w:val="11"/>
        </w:numPr>
        <w:spacing w:lineRule="auto" w:line="276" w:before="0" w:after="120"/>
        <w:ind w:hanging="360" w:start="720" w:end="0"/>
        <w:contextualSpacing/>
        <w:rPr/>
      </w:pPr>
      <w:r>
        <w:rPr/>
        <w:t>typ007:Priority a</w:t>
      </w:r>
    </w:p>
    <w:p>
      <w:pPr>
        <w:pStyle w:val="normal1"/>
        <w:numPr>
          <w:ilvl w:val="0"/>
          <w:numId w:val="11"/>
        </w:numPr>
        <w:spacing w:lineRule="auto" w:line="276" w:before="0" w:after="120"/>
        <w:ind w:hanging="360" w:start="720" w:end="0"/>
        <w:contextualSpacing/>
        <w:rPr/>
      </w:pPr>
      <w:r>
        <w:rPr/>
        <w:t xml:space="preserve">typ008:OptionalBoolean </w:t>
      </w:r>
    </w:p>
    <w:p>
      <w:pPr>
        <w:pStyle w:val="normal1"/>
        <w:spacing w:lineRule="auto" w:line="276" w:before="0" w:after="120"/>
        <w:ind w:start="720" w:end="0"/>
        <w:contextualSpacing/>
        <w:rPr/>
      </w:pPr>
      <w:r>
        <w:rPr/>
      </w:r>
    </w:p>
    <w:p>
      <w:pPr>
        <w:pStyle w:val="normal1"/>
        <w:jc w:val="center"/>
        <w:rPr/>
      </w:pPr>
      <w:r>
        <w:rPr>
          <w:lang w:val="en-US" w:eastAsia="en-US"/>
        </w:rPr>
        <w:drawing>
          <wp:inline distT="0" distB="0" distL="0" distR="0">
            <wp:extent cx="5757545" cy="2845435"/>
            <wp:effectExtent l="0" t="0" r="0" b="0"/>
            <wp:docPr id="4" name="image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09.png"/>
                    <pic:cNvPicPr>
                      <a:picLocks noChangeAspect="1" noChangeArrowheads="1"/>
                    </pic:cNvPicPr>
                  </pic:nvPicPr>
                  <pic:blipFill>
                    <a:blip r:embed="rId6"/>
                    <a:srcRect l="-2" t="-5" r="-2" b="-5"/>
                    <a:stretch>
                      <a:fillRect/>
                    </a:stretch>
                  </pic:blipFill>
                  <pic:spPr bwMode="auto">
                    <a:xfrm>
                      <a:off x="0" y="0"/>
                      <a:ext cx="5757545" cy="2845435"/>
                    </a:xfrm>
                    <a:prstGeom prst="rect">
                      <a:avLst/>
                    </a:prstGeom>
                    <a:noFill/>
                  </pic:spPr>
                </pic:pic>
              </a:graphicData>
            </a:graphic>
          </wp:inline>
        </w:drawing>
      </w:r>
    </w:p>
    <w:p>
      <w:pPr>
        <w:pStyle w:val="NadpisTabObr"/>
        <w:rPr/>
      </w:pPr>
      <w:r>
        <w:rPr/>
        <w:t xml:space="preserve">Obrázek 4 – Ukázka převodu standardní tabulky TPEG popisující atribut “numerická velikost” </w:t>
        <w:br/>
        <w:t>do XSD i s příkladem a komentářem</w:t>
      </w:r>
    </w:p>
    <w:p>
      <w:pPr>
        <w:pStyle w:val="Heading1"/>
        <w:ind w:hanging="0" w:start="0"/>
        <w:rPr/>
      </w:pPr>
      <w:r>
        <w:rPr/>
      </w:r>
      <w:bookmarkStart w:id="15" w:name="h.26in1rg"/>
      <w:bookmarkEnd w:id="15"/>
    </w:p>
    <w:p>
      <w:pPr>
        <w:pStyle w:val="Heading1"/>
        <w:ind w:hanging="0" w:start="0"/>
        <w:rPr/>
      </w:pPr>
      <w:r>
        <w:rPr/>
        <w:t>Literatura</w:t>
      </w:r>
    </w:p>
    <w:p>
      <w:pPr>
        <w:pStyle w:val="normal1"/>
        <w:rPr/>
      </w:pPr>
      <w:r>
        <w:rPr/>
        <w:t>Tato kapitola uvádí jeden zdroj, který byl využit při psaní normy.</w:t>
      </w:r>
    </w:p>
    <w:p>
      <w:pPr>
        <w:pStyle w:val="normal1"/>
        <w:rPr/>
      </w:pPr>
      <w:r>
        <w:rPr/>
      </w:r>
    </w:p>
    <w:p>
      <w:pPr>
        <w:pStyle w:val="normal1"/>
        <w:rPr/>
      </w:pPr>
      <w:r>
        <w:rPr/>
      </w:r>
    </w:p>
    <w:p>
      <w:pPr>
        <w:pStyle w:val="normal1"/>
        <w:rPr/>
      </w:pPr>
      <w:r>
        <w:rPr/>
      </w:r>
    </w:p>
    <w:p>
      <w:pPr>
        <w:pStyle w:val="Normal"/>
        <w:rPr/>
      </w:pPr>
      <w:r>
        <w:rPr/>
      </w:r>
    </w:p>
    <w:sectPr>
      <w:footerReference w:type="even" r:id="rId7"/>
      <w:footerReference w:type="default" r:id="rId8"/>
      <w:type w:val="nextPage"/>
      <w:pgSz w:w="11906" w:h="16838"/>
      <w:pgMar w:left="1021" w:right="96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abstractNum w:abstractNumId="3">
    <w:lvl w:ilvl="0">
      <w:start w:val="1"/>
      <w:numFmt w:val="lowerLetter"/>
      <w:lvlText w:val="%1)"/>
      <w:lvlJc w:val="start"/>
      <w:pPr>
        <w:tabs>
          <w:tab w:val="num" w:pos="360"/>
        </w:tabs>
        <w:ind w:start="284" w:hanging="284"/>
      </w:pPr>
    </w:lvl>
  </w:abstractNum>
  <w:abstractNum w:abstractNumId="4">
    <w:lvl w:ilvl="0">
      <w:start w:val="1"/>
      <w:numFmt w:val="decimal"/>
      <w:lvlText w:val="[%1]"/>
      <w:lvlJc w:val="start"/>
      <w:pPr>
        <w:tabs>
          <w:tab w:val="num" w:pos="360"/>
        </w:tabs>
        <w:ind w:start="360" w:hanging="360"/>
      </w:pPr>
    </w:lvl>
  </w:abstractNum>
  <w:abstractNum w:abstractNumId="5">
    <w:lvl w:ilvl="0">
      <w:start w:val="1"/>
      <w:numFmt w:val="bullet"/>
      <w:lvlText w:val="●"/>
      <w:lvlJc w:val="start"/>
      <w:pPr>
        <w:tabs>
          <w:tab w:val="num" w:pos="709"/>
        </w:tabs>
        <w:ind w:start="720" w:firstLine="1080"/>
      </w:pPr>
      <w:rPr>
        <w:rFonts w:ascii="Liberation Serif" w:hAnsi="Liberation Serif" w:cs="Liberation Serif" w:hint="default"/>
        <w:u w:val="none"/>
      </w:rPr>
    </w:lvl>
    <w:lvl w:ilvl="1">
      <w:start w:val="1"/>
      <w:numFmt w:val="bullet"/>
      <w:lvlText w:val="○"/>
      <w:lvlJc w:val="start"/>
      <w:pPr>
        <w:tabs>
          <w:tab w:val="num" w:pos="0"/>
        </w:tabs>
        <w:ind w:start="1440" w:firstLine="2520"/>
      </w:pPr>
      <w:rPr>
        <w:rFonts w:ascii="Liberation Serif" w:hAnsi="Liberation Serif" w:cs="Liberation Serif" w:hint="default"/>
        <w:u w:val="none"/>
      </w:rPr>
    </w:lvl>
    <w:lvl w:ilvl="2">
      <w:start w:val="1"/>
      <w:numFmt w:val="bullet"/>
      <w:lvlText w:val="■"/>
      <w:lvlJc w:val="start"/>
      <w:pPr>
        <w:tabs>
          <w:tab w:val="num" w:pos="0"/>
        </w:tabs>
        <w:ind w:start="2160" w:firstLine="3960"/>
      </w:pPr>
      <w:rPr>
        <w:rFonts w:ascii="Liberation Serif" w:hAnsi="Liberation Serif" w:cs="Liberation Serif" w:hint="default"/>
        <w:u w:val="none"/>
      </w:rPr>
    </w:lvl>
    <w:lvl w:ilvl="3">
      <w:start w:val="1"/>
      <w:numFmt w:val="bullet"/>
      <w:lvlText w:val="●"/>
      <w:lvlJc w:val="start"/>
      <w:pPr>
        <w:tabs>
          <w:tab w:val="num" w:pos="0"/>
        </w:tabs>
        <w:ind w:start="2880" w:firstLine="5400"/>
      </w:pPr>
      <w:rPr>
        <w:rFonts w:ascii="Liberation Serif" w:hAnsi="Liberation Serif" w:cs="Liberation Serif" w:hint="default"/>
        <w:u w:val="none"/>
      </w:rPr>
    </w:lvl>
    <w:lvl w:ilvl="4">
      <w:start w:val="1"/>
      <w:numFmt w:val="bullet"/>
      <w:lvlText w:val="○"/>
      <w:lvlJc w:val="start"/>
      <w:pPr>
        <w:tabs>
          <w:tab w:val="num" w:pos="0"/>
        </w:tabs>
        <w:ind w:start="3600" w:firstLine="6840"/>
      </w:pPr>
      <w:rPr>
        <w:rFonts w:ascii="Liberation Serif" w:hAnsi="Liberation Serif" w:cs="Liberation Serif" w:hint="default"/>
        <w:u w:val="none"/>
      </w:rPr>
    </w:lvl>
    <w:lvl w:ilvl="5">
      <w:start w:val="1"/>
      <w:numFmt w:val="bullet"/>
      <w:lvlText w:val="■"/>
      <w:lvlJc w:val="start"/>
      <w:pPr>
        <w:tabs>
          <w:tab w:val="num" w:pos="0"/>
        </w:tabs>
        <w:ind w:start="4320" w:firstLine="8280"/>
      </w:pPr>
      <w:rPr>
        <w:rFonts w:ascii="Liberation Serif" w:hAnsi="Liberation Serif" w:cs="Liberation Serif" w:hint="default"/>
        <w:u w:val="none"/>
      </w:rPr>
    </w:lvl>
    <w:lvl w:ilvl="6">
      <w:start w:val="1"/>
      <w:numFmt w:val="bullet"/>
      <w:lvlText w:val="●"/>
      <w:lvlJc w:val="start"/>
      <w:pPr>
        <w:tabs>
          <w:tab w:val="num" w:pos="0"/>
        </w:tabs>
        <w:ind w:start="5040" w:firstLine="9720"/>
      </w:pPr>
      <w:rPr>
        <w:rFonts w:ascii="Liberation Serif" w:hAnsi="Liberation Serif" w:cs="Liberation Serif" w:hint="default"/>
        <w:u w:val="none"/>
      </w:rPr>
    </w:lvl>
    <w:lvl w:ilvl="7">
      <w:start w:val="1"/>
      <w:numFmt w:val="bullet"/>
      <w:lvlText w:val="○"/>
      <w:lvlJc w:val="start"/>
      <w:pPr>
        <w:tabs>
          <w:tab w:val="num" w:pos="0"/>
        </w:tabs>
        <w:ind w:start="5760" w:firstLine="11160"/>
      </w:pPr>
      <w:rPr>
        <w:rFonts w:ascii="Liberation Serif" w:hAnsi="Liberation Serif" w:cs="Liberation Serif" w:hint="default"/>
        <w:u w:val="none"/>
      </w:rPr>
    </w:lvl>
    <w:lvl w:ilvl="8">
      <w:start w:val="1"/>
      <w:numFmt w:val="bullet"/>
      <w:lvlText w:val="■"/>
      <w:lvlJc w:val="start"/>
      <w:pPr>
        <w:tabs>
          <w:tab w:val="num" w:pos="0"/>
        </w:tabs>
        <w:ind w:start="6480" w:firstLine="12600"/>
      </w:pPr>
      <w:rPr>
        <w:rFonts w:ascii="Liberation Serif" w:hAnsi="Liberation Serif" w:cs="Liberation Serif" w:hint="default"/>
        <w:u w:val="none"/>
      </w:rPr>
    </w:lvl>
  </w:abstractNum>
  <w:abstractNum w:abstractNumId="6">
    <w:lvl w:ilvl="0">
      <w:start w:val="1"/>
      <w:numFmt w:val="decimal"/>
      <w:lvlText w:val="%1."/>
      <w:lvlJc w:val="start"/>
      <w:pPr>
        <w:tabs>
          <w:tab w:val="num" w:pos="709"/>
        </w:tabs>
        <w:ind w:start="720" w:firstLine="360"/>
      </w:pPr>
      <w:rPr>
        <w:u w:val="none"/>
      </w:rPr>
    </w:lvl>
    <w:lvl w:ilvl="1">
      <w:start w:val="1"/>
      <w:numFmt w:val="lowerLetter"/>
      <w:lvlText w:val="%2."/>
      <w:lvlJc w:val="start"/>
      <w:pPr>
        <w:tabs>
          <w:tab w:val="num" w:pos="0"/>
        </w:tabs>
        <w:ind w:start="1440" w:firstLine="1080"/>
      </w:pPr>
      <w:rPr>
        <w:u w:val="none"/>
      </w:rPr>
    </w:lvl>
    <w:lvl w:ilvl="2">
      <w:start w:val="1"/>
      <w:numFmt w:val="lowerRoman"/>
      <w:lvlText w:val="%3."/>
      <w:lvlJc w:val="end"/>
      <w:pPr>
        <w:tabs>
          <w:tab w:val="num" w:pos="0"/>
        </w:tabs>
        <w:ind w:start="2160" w:firstLine="1800"/>
      </w:pPr>
      <w:rPr>
        <w:u w:val="none"/>
      </w:rPr>
    </w:lvl>
    <w:lvl w:ilvl="3">
      <w:start w:val="1"/>
      <w:numFmt w:val="decimal"/>
      <w:lvlText w:val="%4."/>
      <w:lvlJc w:val="start"/>
      <w:pPr>
        <w:tabs>
          <w:tab w:val="num" w:pos="0"/>
        </w:tabs>
        <w:ind w:start="2880" w:firstLine="2520"/>
      </w:pPr>
      <w:rPr>
        <w:u w:val="none"/>
      </w:rPr>
    </w:lvl>
    <w:lvl w:ilvl="4">
      <w:start w:val="1"/>
      <w:numFmt w:val="lowerLetter"/>
      <w:lvlText w:val="%5."/>
      <w:lvlJc w:val="start"/>
      <w:pPr>
        <w:tabs>
          <w:tab w:val="num" w:pos="0"/>
        </w:tabs>
        <w:ind w:start="3600" w:firstLine="3240"/>
      </w:pPr>
      <w:rPr>
        <w:u w:val="none"/>
      </w:rPr>
    </w:lvl>
    <w:lvl w:ilvl="5">
      <w:start w:val="1"/>
      <w:numFmt w:val="lowerRoman"/>
      <w:lvlText w:val="%6."/>
      <w:lvlJc w:val="end"/>
      <w:pPr>
        <w:tabs>
          <w:tab w:val="num" w:pos="0"/>
        </w:tabs>
        <w:ind w:start="4320" w:firstLine="3960"/>
      </w:pPr>
      <w:rPr>
        <w:u w:val="none"/>
      </w:rPr>
    </w:lvl>
    <w:lvl w:ilvl="6">
      <w:start w:val="1"/>
      <w:numFmt w:val="decimal"/>
      <w:lvlText w:val="%7."/>
      <w:lvlJc w:val="start"/>
      <w:pPr>
        <w:tabs>
          <w:tab w:val="num" w:pos="0"/>
        </w:tabs>
        <w:ind w:start="5040" w:firstLine="4680"/>
      </w:pPr>
      <w:rPr>
        <w:u w:val="none"/>
      </w:rPr>
    </w:lvl>
    <w:lvl w:ilvl="7">
      <w:start w:val="1"/>
      <w:numFmt w:val="lowerLetter"/>
      <w:lvlText w:val="%8."/>
      <w:lvlJc w:val="start"/>
      <w:pPr>
        <w:tabs>
          <w:tab w:val="num" w:pos="0"/>
        </w:tabs>
        <w:ind w:start="5760" w:firstLine="5400"/>
      </w:pPr>
      <w:rPr>
        <w:u w:val="none"/>
      </w:rPr>
    </w:lvl>
    <w:lvl w:ilvl="8">
      <w:start w:val="1"/>
      <w:numFmt w:val="lowerRoman"/>
      <w:lvlText w:val="%9."/>
      <w:lvlJc w:val="end"/>
      <w:pPr>
        <w:tabs>
          <w:tab w:val="num" w:pos="0"/>
        </w:tabs>
        <w:ind w:start="6480" w:firstLine="6120"/>
      </w:pPr>
      <w:rPr>
        <w:u w:val="none"/>
      </w:rPr>
    </w:lvl>
  </w:abstractNum>
  <w:abstractNum w:abstractNumId="7">
    <w:lvl w:ilvl="0">
      <w:start w:val="1"/>
      <w:numFmt w:val="decimal"/>
      <w:lvlText w:val="%1."/>
      <w:lvlJc w:val="start"/>
      <w:pPr>
        <w:tabs>
          <w:tab w:val="num" w:pos="709"/>
        </w:tabs>
        <w:ind w:start="720" w:firstLine="360"/>
      </w:pPr>
      <w:rPr>
        <w:u w:val="none"/>
      </w:rPr>
    </w:lvl>
    <w:lvl w:ilvl="1">
      <w:start w:val="1"/>
      <w:numFmt w:val="lowerLetter"/>
      <w:lvlText w:val="%2."/>
      <w:lvlJc w:val="start"/>
      <w:pPr>
        <w:tabs>
          <w:tab w:val="num" w:pos="709"/>
        </w:tabs>
        <w:ind w:start="1440" w:firstLine="1080"/>
      </w:pPr>
      <w:rPr>
        <w:u w:val="none"/>
      </w:rPr>
    </w:lvl>
    <w:lvl w:ilvl="2">
      <w:start w:val="1"/>
      <w:numFmt w:val="lowerRoman"/>
      <w:lvlText w:val="%3."/>
      <w:lvlJc w:val="end"/>
      <w:pPr>
        <w:tabs>
          <w:tab w:val="num" w:pos="0"/>
        </w:tabs>
        <w:ind w:start="2160" w:firstLine="1800"/>
      </w:pPr>
      <w:rPr>
        <w:u w:val="none"/>
      </w:rPr>
    </w:lvl>
    <w:lvl w:ilvl="3">
      <w:start w:val="1"/>
      <w:numFmt w:val="decimal"/>
      <w:lvlText w:val="%4."/>
      <w:lvlJc w:val="start"/>
      <w:pPr>
        <w:tabs>
          <w:tab w:val="num" w:pos="0"/>
        </w:tabs>
        <w:ind w:start="2880" w:firstLine="2520"/>
      </w:pPr>
      <w:rPr>
        <w:u w:val="none"/>
      </w:rPr>
    </w:lvl>
    <w:lvl w:ilvl="4">
      <w:start w:val="1"/>
      <w:numFmt w:val="lowerLetter"/>
      <w:lvlText w:val="%5."/>
      <w:lvlJc w:val="start"/>
      <w:pPr>
        <w:tabs>
          <w:tab w:val="num" w:pos="0"/>
        </w:tabs>
        <w:ind w:start="3600" w:firstLine="3240"/>
      </w:pPr>
      <w:rPr>
        <w:u w:val="none"/>
      </w:rPr>
    </w:lvl>
    <w:lvl w:ilvl="5">
      <w:start w:val="1"/>
      <w:numFmt w:val="lowerRoman"/>
      <w:lvlText w:val="%6."/>
      <w:lvlJc w:val="end"/>
      <w:pPr>
        <w:tabs>
          <w:tab w:val="num" w:pos="0"/>
        </w:tabs>
        <w:ind w:start="4320" w:firstLine="3960"/>
      </w:pPr>
      <w:rPr>
        <w:u w:val="none"/>
      </w:rPr>
    </w:lvl>
    <w:lvl w:ilvl="6">
      <w:start w:val="1"/>
      <w:numFmt w:val="decimal"/>
      <w:lvlText w:val="%7."/>
      <w:lvlJc w:val="start"/>
      <w:pPr>
        <w:tabs>
          <w:tab w:val="num" w:pos="0"/>
        </w:tabs>
        <w:ind w:start="5040" w:firstLine="4680"/>
      </w:pPr>
      <w:rPr>
        <w:u w:val="none"/>
      </w:rPr>
    </w:lvl>
    <w:lvl w:ilvl="7">
      <w:start w:val="1"/>
      <w:numFmt w:val="lowerLetter"/>
      <w:lvlText w:val="%8."/>
      <w:lvlJc w:val="start"/>
      <w:pPr>
        <w:tabs>
          <w:tab w:val="num" w:pos="0"/>
        </w:tabs>
        <w:ind w:start="5760" w:firstLine="5400"/>
      </w:pPr>
      <w:rPr>
        <w:u w:val="none"/>
      </w:rPr>
    </w:lvl>
    <w:lvl w:ilvl="8">
      <w:start w:val="1"/>
      <w:numFmt w:val="lowerRoman"/>
      <w:lvlText w:val="%9."/>
      <w:lvlJc w:val="end"/>
      <w:pPr>
        <w:tabs>
          <w:tab w:val="num" w:pos="0"/>
        </w:tabs>
        <w:ind w:start="6480" w:firstLine="6120"/>
      </w:pPr>
      <w:rPr>
        <w:u w:val="none"/>
      </w:rPr>
    </w:lvl>
  </w:abstractNum>
  <w:abstractNum w:abstractNumId="8">
    <w:lvl w:ilvl="0">
      <w:start w:val="1"/>
      <w:numFmt w:val="decimal"/>
      <w:lvlText w:val="%1."/>
      <w:lvlJc w:val="start"/>
      <w:pPr>
        <w:tabs>
          <w:tab w:val="num" w:pos="283"/>
        </w:tabs>
        <w:ind w:start="283" w:hanging="283"/>
      </w:pPr>
    </w:lvl>
  </w:abstractNum>
  <w:abstractNum w:abstractNumId="9">
    <w:lvl w:ilvl="0">
      <w:start w:val="1"/>
      <w:numFmt w:val="decimal"/>
      <w:lvlText w:val="%1)"/>
      <w:lvlJc w:val="start"/>
      <w:pPr>
        <w:tabs>
          <w:tab w:val="num" w:pos="360"/>
        </w:tabs>
        <w:ind w:start="284" w:hanging="284"/>
      </w:pPr>
    </w:lvl>
  </w:abstractNum>
  <w:abstractNum w:abstractNumId="10">
    <w:lvl w:ilvl="0">
      <w:start w:val="1"/>
      <w:numFmt w:val="lowerLetter"/>
      <w:lvlText w:val="%1)"/>
      <w:lvlJc w:val="start"/>
      <w:pPr>
        <w:tabs>
          <w:tab w:val="num" w:pos="360"/>
        </w:tabs>
        <w:ind w:start="284" w:hanging="284"/>
      </w:pPr>
    </w:lvl>
  </w:abstractNum>
  <w:abstractNum w:abstractNumId="11">
    <w:lvl w:ilvl="0">
      <w:start w:val="1"/>
      <w:numFmt w:val="bullet"/>
      <w:lvlText w:val="●"/>
      <w:lvlJc w:val="start"/>
      <w:pPr>
        <w:tabs>
          <w:tab w:val="num" w:pos="709"/>
        </w:tabs>
        <w:ind w:start="720" w:firstLine="360"/>
      </w:pPr>
      <w:rPr>
        <w:rFonts w:ascii="Liberation Serif" w:hAnsi="Liberation Serif" w:cs="Liberation Serif" w:hint="default"/>
        <w:u w:val="none"/>
      </w:rPr>
    </w:lvl>
    <w:lvl w:ilvl="1">
      <w:start w:val="1"/>
      <w:numFmt w:val="bullet"/>
      <w:lvlText w:val="○"/>
      <w:lvlJc w:val="start"/>
      <w:pPr>
        <w:tabs>
          <w:tab w:val="num" w:pos="0"/>
        </w:tabs>
        <w:ind w:start="1440" w:firstLine="1080"/>
      </w:pPr>
      <w:rPr>
        <w:rFonts w:ascii="Liberation Serif" w:hAnsi="Liberation Serif" w:cs="Liberation Serif" w:hint="default"/>
        <w:u w:val="none"/>
      </w:rPr>
    </w:lvl>
    <w:lvl w:ilvl="2">
      <w:start w:val="1"/>
      <w:numFmt w:val="bullet"/>
      <w:lvlText w:val="■"/>
      <w:lvlJc w:val="start"/>
      <w:pPr>
        <w:tabs>
          <w:tab w:val="num" w:pos="0"/>
        </w:tabs>
        <w:ind w:start="2160" w:firstLine="1800"/>
      </w:pPr>
      <w:rPr>
        <w:rFonts w:ascii="Liberation Serif" w:hAnsi="Liberation Serif" w:cs="Liberation Serif" w:hint="default"/>
        <w:u w:val="none"/>
      </w:rPr>
    </w:lvl>
    <w:lvl w:ilvl="3">
      <w:start w:val="1"/>
      <w:numFmt w:val="bullet"/>
      <w:lvlText w:val="●"/>
      <w:lvlJc w:val="start"/>
      <w:pPr>
        <w:tabs>
          <w:tab w:val="num" w:pos="0"/>
        </w:tabs>
        <w:ind w:start="2880" w:firstLine="2520"/>
      </w:pPr>
      <w:rPr>
        <w:rFonts w:ascii="Liberation Serif" w:hAnsi="Liberation Serif" w:cs="Liberation Serif" w:hint="default"/>
        <w:u w:val="none"/>
      </w:rPr>
    </w:lvl>
    <w:lvl w:ilvl="4">
      <w:start w:val="1"/>
      <w:numFmt w:val="bullet"/>
      <w:lvlText w:val="○"/>
      <w:lvlJc w:val="start"/>
      <w:pPr>
        <w:tabs>
          <w:tab w:val="num" w:pos="0"/>
        </w:tabs>
        <w:ind w:start="3600" w:firstLine="3240"/>
      </w:pPr>
      <w:rPr>
        <w:rFonts w:ascii="Liberation Serif" w:hAnsi="Liberation Serif" w:cs="Liberation Serif" w:hint="default"/>
        <w:u w:val="none"/>
      </w:rPr>
    </w:lvl>
    <w:lvl w:ilvl="5">
      <w:start w:val="1"/>
      <w:numFmt w:val="bullet"/>
      <w:lvlText w:val="■"/>
      <w:lvlJc w:val="start"/>
      <w:pPr>
        <w:tabs>
          <w:tab w:val="num" w:pos="0"/>
        </w:tabs>
        <w:ind w:start="4320" w:firstLine="3960"/>
      </w:pPr>
      <w:rPr>
        <w:rFonts w:ascii="Liberation Serif" w:hAnsi="Liberation Serif" w:cs="Liberation Serif" w:hint="default"/>
        <w:u w:val="none"/>
      </w:rPr>
    </w:lvl>
    <w:lvl w:ilvl="6">
      <w:start w:val="1"/>
      <w:numFmt w:val="bullet"/>
      <w:lvlText w:val="●"/>
      <w:lvlJc w:val="start"/>
      <w:pPr>
        <w:tabs>
          <w:tab w:val="num" w:pos="0"/>
        </w:tabs>
        <w:ind w:start="5040" w:firstLine="4680"/>
      </w:pPr>
      <w:rPr>
        <w:rFonts w:ascii="Liberation Serif" w:hAnsi="Liberation Serif" w:cs="Liberation Serif" w:hint="default"/>
        <w:u w:val="none"/>
      </w:rPr>
    </w:lvl>
    <w:lvl w:ilvl="7">
      <w:start w:val="1"/>
      <w:numFmt w:val="bullet"/>
      <w:lvlText w:val="○"/>
      <w:lvlJc w:val="start"/>
      <w:pPr>
        <w:tabs>
          <w:tab w:val="num" w:pos="0"/>
        </w:tabs>
        <w:ind w:start="5760" w:firstLine="5400"/>
      </w:pPr>
      <w:rPr>
        <w:rFonts w:ascii="Liberation Serif" w:hAnsi="Liberation Serif" w:cs="Liberation Serif" w:hint="default"/>
        <w:u w:val="none"/>
      </w:rPr>
    </w:lvl>
    <w:lvl w:ilvl="8">
      <w:start w:val="1"/>
      <w:numFmt w:val="bullet"/>
      <w:lvlText w:val="■"/>
      <w:lvlJc w:val="start"/>
      <w:pPr>
        <w:tabs>
          <w:tab w:val="num" w:pos="0"/>
        </w:tabs>
        <w:ind w:start="6480" w:firstLine="6120"/>
      </w:pPr>
      <w:rPr>
        <w:rFonts w:ascii="Liberation Serif" w:hAnsi="Liberation Serif" w:cs="Liberation Serif" w:hint="default"/>
        <w:u w:val="none"/>
      </w:rPr>
    </w:lvl>
  </w:abstractNum>
  <w:abstractNum w:abstractNumId="12">
    <w:lvl w:ilvl="0">
      <w:start w:val="1"/>
      <w:numFmt w:val="bullet"/>
      <w:lvlText w:val="●"/>
      <w:lvlJc w:val="start"/>
      <w:pPr>
        <w:tabs>
          <w:tab w:val="num" w:pos="709"/>
        </w:tabs>
        <w:ind w:start="720" w:firstLine="360"/>
      </w:pPr>
      <w:rPr>
        <w:rFonts w:ascii="Liberation Serif" w:hAnsi="Liberation Serif" w:cs="Liberation Serif" w:hint="default"/>
        <w:u w:val="none"/>
      </w:rPr>
    </w:lvl>
    <w:lvl w:ilvl="1">
      <w:start w:val="1"/>
      <w:numFmt w:val="bullet"/>
      <w:lvlText w:val="○"/>
      <w:lvlJc w:val="start"/>
      <w:pPr>
        <w:tabs>
          <w:tab w:val="num" w:pos="0"/>
        </w:tabs>
        <w:ind w:start="1440" w:firstLine="1080"/>
      </w:pPr>
      <w:rPr>
        <w:rFonts w:ascii="Liberation Serif" w:hAnsi="Liberation Serif" w:cs="Liberation Serif" w:hint="default"/>
        <w:u w:val="none"/>
      </w:rPr>
    </w:lvl>
    <w:lvl w:ilvl="2">
      <w:start w:val="1"/>
      <w:numFmt w:val="bullet"/>
      <w:lvlText w:val="■"/>
      <w:lvlJc w:val="start"/>
      <w:pPr>
        <w:tabs>
          <w:tab w:val="num" w:pos="0"/>
        </w:tabs>
        <w:ind w:start="2160" w:firstLine="1800"/>
      </w:pPr>
      <w:rPr>
        <w:rFonts w:ascii="Liberation Serif" w:hAnsi="Liberation Serif" w:cs="Liberation Serif" w:hint="default"/>
        <w:u w:val="none"/>
      </w:rPr>
    </w:lvl>
    <w:lvl w:ilvl="3">
      <w:start w:val="1"/>
      <w:numFmt w:val="bullet"/>
      <w:lvlText w:val="●"/>
      <w:lvlJc w:val="start"/>
      <w:pPr>
        <w:tabs>
          <w:tab w:val="num" w:pos="0"/>
        </w:tabs>
        <w:ind w:start="2880" w:firstLine="2520"/>
      </w:pPr>
      <w:rPr>
        <w:rFonts w:ascii="Liberation Serif" w:hAnsi="Liberation Serif" w:cs="Liberation Serif" w:hint="default"/>
        <w:u w:val="none"/>
      </w:rPr>
    </w:lvl>
    <w:lvl w:ilvl="4">
      <w:start w:val="1"/>
      <w:numFmt w:val="bullet"/>
      <w:lvlText w:val="○"/>
      <w:lvlJc w:val="start"/>
      <w:pPr>
        <w:tabs>
          <w:tab w:val="num" w:pos="0"/>
        </w:tabs>
        <w:ind w:start="3600" w:firstLine="3240"/>
      </w:pPr>
      <w:rPr>
        <w:rFonts w:ascii="Liberation Serif" w:hAnsi="Liberation Serif" w:cs="Liberation Serif" w:hint="default"/>
        <w:u w:val="none"/>
      </w:rPr>
    </w:lvl>
    <w:lvl w:ilvl="5">
      <w:start w:val="1"/>
      <w:numFmt w:val="bullet"/>
      <w:lvlText w:val="■"/>
      <w:lvlJc w:val="start"/>
      <w:pPr>
        <w:tabs>
          <w:tab w:val="num" w:pos="0"/>
        </w:tabs>
        <w:ind w:start="4320" w:firstLine="3960"/>
      </w:pPr>
      <w:rPr>
        <w:rFonts w:ascii="Liberation Serif" w:hAnsi="Liberation Serif" w:cs="Liberation Serif" w:hint="default"/>
        <w:u w:val="none"/>
      </w:rPr>
    </w:lvl>
    <w:lvl w:ilvl="6">
      <w:start w:val="1"/>
      <w:numFmt w:val="bullet"/>
      <w:lvlText w:val="●"/>
      <w:lvlJc w:val="start"/>
      <w:pPr>
        <w:tabs>
          <w:tab w:val="num" w:pos="0"/>
        </w:tabs>
        <w:ind w:start="5040" w:firstLine="4680"/>
      </w:pPr>
      <w:rPr>
        <w:rFonts w:ascii="Liberation Serif" w:hAnsi="Liberation Serif" w:cs="Liberation Serif" w:hint="default"/>
        <w:u w:val="none"/>
      </w:rPr>
    </w:lvl>
    <w:lvl w:ilvl="7">
      <w:start w:val="1"/>
      <w:numFmt w:val="bullet"/>
      <w:lvlText w:val="○"/>
      <w:lvlJc w:val="start"/>
      <w:pPr>
        <w:tabs>
          <w:tab w:val="num" w:pos="0"/>
        </w:tabs>
        <w:ind w:start="5760" w:firstLine="5400"/>
      </w:pPr>
      <w:rPr>
        <w:rFonts w:ascii="Liberation Serif" w:hAnsi="Liberation Serif" w:cs="Liberation Serif" w:hint="default"/>
        <w:u w:val="none"/>
      </w:rPr>
    </w:lvl>
    <w:lvl w:ilvl="8">
      <w:start w:val="1"/>
      <w:numFmt w:val="bullet"/>
      <w:lvlText w:val="■"/>
      <w:lvlJc w:val="start"/>
      <w:pPr>
        <w:tabs>
          <w:tab w:val="num" w:pos="0"/>
        </w:tabs>
        <w:ind w:start="6480" w:firstLine="6120"/>
      </w:pPr>
      <w:rPr>
        <w:rFonts w:ascii="Liberation Serif" w:hAnsi="Liberation Serif" w:cs="Liberation Serif" w:hint="default"/>
        <w:u w:val="none"/>
      </w:rPr>
    </w:lvl>
  </w:abstractNum>
  <w:abstractNum w:abstractNumId="13">
    <w:lvl w:ilvl="0">
      <w:start w:val="1"/>
      <w:numFmt w:val="lowerLetter"/>
      <w:lvlText w:val="%1)"/>
      <w:lvlJc w:val="start"/>
      <w:pPr>
        <w:tabs>
          <w:tab w:val="num" w:pos="283"/>
        </w:tabs>
        <w:ind w:start="283" w:hanging="283"/>
      </w:pPr>
    </w:lvl>
  </w:abstractNum>
  <w:abstractNum w:abstractNumId="14">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mirrorMargins/>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Arial" w:hAnsi="Arial" w:eastAsia="Times New Roman" w:cs="Arial"/>
      <w:color w:val="auto"/>
      <w:sz w:val="20"/>
      <w:szCs w:val="20"/>
      <w:lang w:val="cs-CZ" w:bidi="ar-SA" w:eastAsia="zh-CN"/>
    </w:rPr>
  </w:style>
  <w:style w:type="paragraph" w:styleId="Heading1">
    <w:name w:val="heading 1"/>
    <w:basedOn w:val="Nadpiskapitoly"/>
    <w:next w:val="Textnormy"/>
    <w:qFormat/>
    <w:pPr>
      <w:numPr>
        <w:ilvl w:val="0"/>
        <w:numId w:val="1"/>
      </w:numPr>
      <w:outlineLvl w:val="0"/>
    </w:pPr>
    <w:rPr/>
  </w:style>
  <w:style w:type="paragraph" w:styleId="Heading2">
    <w:name w:val="heading 2"/>
    <w:basedOn w:val="Nadpislnku"/>
    <w:next w:val="Textnormy"/>
    <w:qFormat/>
    <w:pPr>
      <w:numPr>
        <w:ilvl w:val="1"/>
        <w:numId w:val="1"/>
      </w:numPr>
      <w:outlineLvl w:val="1"/>
    </w:pPr>
    <w:rPr/>
  </w:style>
  <w:style w:type="paragraph" w:styleId="Heading3">
    <w:name w:val="heading 3"/>
    <w:basedOn w:val="Nadpislnku"/>
    <w:next w:val="Textnormy"/>
    <w:qFormat/>
    <w:pPr>
      <w:numPr>
        <w:ilvl w:val="2"/>
        <w:numId w:val="1"/>
      </w:numPr>
      <w:outlineLvl w:val="2"/>
    </w:pPr>
    <w:rPr/>
  </w:style>
  <w:style w:type="paragraph" w:styleId="Heading4">
    <w:name w:val="heading 4"/>
    <w:basedOn w:val="Nadpislnku"/>
    <w:next w:val="Textnormy"/>
    <w:qFormat/>
    <w:pPr>
      <w:numPr>
        <w:ilvl w:val="3"/>
        <w:numId w:val="1"/>
      </w:numPr>
      <w:outlineLvl w:val="3"/>
    </w:pPr>
    <w:rPr/>
  </w:style>
  <w:style w:type="paragraph" w:styleId="Heading5">
    <w:name w:val="heading 5"/>
    <w:basedOn w:val="Nadpislnku"/>
    <w:next w:val="Textnormy"/>
    <w:qFormat/>
    <w:pPr>
      <w:numPr>
        <w:ilvl w:val="4"/>
        <w:numId w:val="1"/>
      </w:numPr>
      <w:outlineLvl w:val="4"/>
    </w:pPr>
    <w:rPr/>
  </w:style>
  <w:style w:type="paragraph" w:styleId="Heading6">
    <w:name w:val="heading 6"/>
    <w:basedOn w:val="Nadpislnku"/>
    <w:next w:val="Textnormy"/>
    <w:qFormat/>
    <w:pPr>
      <w:numPr>
        <w:ilvl w:val="5"/>
        <w:numId w:val="1"/>
      </w:numPr>
      <w:outlineLvl w:val="5"/>
    </w:pPr>
    <w:rPr/>
  </w:style>
  <w:style w:type="paragraph" w:styleId="Heading7">
    <w:name w:val="heading 7"/>
    <w:basedOn w:val="Nadpislnku"/>
    <w:next w:val="Textnormy"/>
    <w:qFormat/>
    <w:pPr>
      <w:numPr>
        <w:ilvl w:val="6"/>
        <w:numId w:val="1"/>
      </w:numPr>
      <w:outlineLvl w:val="6"/>
    </w:pPr>
    <w:rPr/>
  </w:style>
  <w:style w:type="paragraph" w:styleId="Heading8">
    <w:name w:val="heading 8"/>
    <w:basedOn w:val="Nadpislnku"/>
    <w:next w:val="Textnormy"/>
    <w:qFormat/>
    <w:pPr>
      <w:numPr>
        <w:ilvl w:val="7"/>
        <w:numId w:val="1"/>
      </w:numPr>
      <w:outlineLvl w:val="7"/>
    </w:pPr>
    <w:rPr/>
  </w:style>
  <w:style w:type="paragraph" w:styleId="Heading9">
    <w:name w:val="heading 9"/>
    <w:basedOn w:val="Nadpislnku"/>
    <w:next w:val="Textnormy"/>
    <w:qFormat/>
    <w:pPr>
      <w:numPr>
        <w:ilvl w:val="8"/>
        <w:numId w:val="1"/>
      </w:numPr>
      <w:outlineLvl w:val="8"/>
    </w:pPr>
    <w:rPr/>
  </w:style>
  <w:style w:type="character" w:styleId="WW8Num1z0">
    <w:name w:val="WW8Num1z0"/>
    <w:qFormat/>
    <w:rPr>
      <w:rFonts w:ascii="Arial" w:hAnsi="Arial" w:cs="Arial"/>
    </w:rPr>
  </w:style>
  <w:style w:type="character" w:styleId="WW8Num4z0">
    <w:name w:val="WW8Num4z0"/>
    <w:qFormat/>
    <w:rPr>
      <w:u w:val="none"/>
    </w:rPr>
  </w:style>
  <w:style w:type="character" w:styleId="WW8Num5z0">
    <w:name w:val="WW8Num5z0"/>
    <w:qFormat/>
    <w:rPr>
      <w:rFonts w:ascii="Arial" w:hAnsi="Arial" w:eastAsia="Arial" w:cs="Arial"/>
      <w:position w:val="0"/>
      <w:sz w:val="24"/>
      <w:vertAlign w:val="baseline"/>
    </w:rPr>
  </w:style>
  <w:style w:type="character" w:styleId="WW8Num6z0">
    <w:name w:val="WW8Num6z0"/>
    <w:qFormat/>
    <w:rPr>
      <w:u w:val="none"/>
    </w:rPr>
  </w:style>
  <w:style w:type="character" w:styleId="WW8Num8z0">
    <w:name w:val="WW8Num8z0"/>
    <w:qFormat/>
    <w:rPr>
      <w:u w:val="none"/>
    </w:rPr>
  </w:style>
  <w:style w:type="character" w:styleId="WW8Num10z0">
    <w:name w:val="WW8Num10z0"/>
    <w:qFormat/>
    <w:rPr>
      <w:u w:val="none"/>
    </w:rPr>
  </w:style>
  <w:style w:type="character" w:styleId="WW8Num15z0">
    <w:name w:val="WW8Num15z0"/>
    <w:qFormat/>
    <w:rPr>
      <w:u w:val="none"/>
    </w:rPr>
  </w:style>
  <w:style w:type="character" w:styleId="WW8Num16z0">
    <w:name w:val="WW8Num16z0"/>
    <w:qFormat/>
    <w:rPr>
      <w:u w:val="none"/>
    </w:rPr>
  </w:style>
  <w:style w:type="character" w:styleId="WW8Num17z0">
    <w:name w:val="WW8Num17z0"/>
    <w:qFormat/>
    <w:rPr>
      <w:u w:val="none"/>
    </w:rPr>
  </w:style>
  <w:style w:type="character" w:styleId="Standardnpsmoodstavce">
    <w:name w:val="Standardní písmo odstavce"/>
    <w:qFormat/>
    <w:rPr/>
  </w:style>
  <w:style w:type="character" w:styleId="PageNumber">
    <w:name w:val="page number"/>
    <w:rPr>
      <w:rFonts w:ascii="Arial" w:hAnsi="Arial" w:cs="Arial"/>
      <w:sz w:val="18"/>
    </w:rPr>
  </w:style>
  <w:style w:type="character" w:styleId="FootnoteCharacters">
    <w:name w:val="Footnote Characters"/>
    <w:qFormat/>
    <w:rPr>
      <w:vertAlign w:val="superscript"/>
    </w:rPr>
  </w:style>
  <w:style w:type="character" w:styleId="TextnormyChar1">
    <w:name w:val="Text normy Char1"/>
    <w:qFormat/>
    <w:rPr>
      <w:rFonts w:ascii="Arial" w:hAnsi="Arial" w:cs="Arial"/>
      <w:lang w:val="cs-CZ" w:bidi="ar-SA"/>
    </w:rPr>
  </w:style>
  <w:style w:type="character" w:styleId="Odkaznakoment">
    <w:name w:val="Odkaz na komentář"/>
    <w:qFormat/>
    <w:rPr>
      <w:sz w:val="16"/>
      <w:szCs w:val="16"/>
    </w:rPr>
  </w:style>
  <w:style w:type="character" w:styleId="TextkomenteChar">
    <w:name w:val="Text komentáře Char"/>
    <w:qFormat/>
    <w:rPr>
      <w:rFonts w:ascii="Arial" w:hAnsi="Arial" w:cs="Arial"/>
      <w:lang w:val="cs-CZ" w:bidi="ar-SA"/>
    </w:rPr>
  </w:style>
  <w:style w:type="character" w:styleId="Nadpis1Char">
    <w:name w:val="Nadpis 1 Char"/>
    <w:qFormat/>
    <w:rPr>
      <w:rFonts w:ascii="Arial" w:hAnsi="Arial" w:cs="Arial"/>
      <w:b/>
      <w:sz w:val="24"/>
      <w:lang w:val="cs-CZ" w:bidi="ar-SA"/>
    </w:rPr>
  </w:style>
  <w:style w:type="character" w:styleId="TextnormyCharChar">
    <w:name w:val="Text normy Char Char"/>
    <w:qFormat/>
    <w:rPr>
      <w:rFonts w:ascii="Arial" w:hAnsi="Arial" w:cs="Arial"/>
      <w:lang w:val="cs-CZ" w:bidi="ar-SA"/>
    </w:rPr>
  </w:style>
  <w:style w:type="character" w:styleId="PedmtkomenteChar">
    <w:name w:val="Předmět komentáře Char"/>
    <w:qFormat/>
    <w:rPr>
      <w:rFonts w:ascii="Arial" w:hAnsi="Arial" w:cs="Arial"/>
      <w:b/>
      <w:bCs/>
      <w:lang w:val="cs-CZ" w:bidi="ar-SA"/>
    </w:rPr>
  </w:style>
  <w:style w:type="character" w:styleId="Hyperlink">
    <w:name w:val="Hyperlink"/>
    <w:rPr>
      <w:color w:val="0000FF"/>
      <w:u w:val="single"/>
    </w:rPr>
  </w:style>
  <w:style w:type="character" w:styleId="NzevChar">
    <w:name w:val="Název Char"/>
    <w:qFormat/>
    <w:rPr>
      <w:rFonts w:ascii="Arial" w:hAnsi="Arial" w:cs="Arial"/>
      <w:b/>
      <w:sz w:val="40"/>
      <w:szCs w:val="40"/>
    </w:rPr>
  </w:style>
  <w:style w:type="character" w:styleId="PodtitulChar">
    <w:name w:val="Podtitul Char"/>
    <w:qFormat/>
    <w:rPr>
      <w:rFonts w:ascii="Arial" w:hAnsi="Arial" w:eastAsia="Arial" w:cs="Arial"/>
      <w:b/>
      <w:color w:val="000000"/>
      <w:sz w:val="28"/>
      <w:szCs w:val="28"/>
    </w:rPr>
  </w:style>
  <w:style w:type="paragraph" w:styleId="Heading">
    <w:name w:val="Heading"/>
    <w:basedOn w:val="Normal"/>
    <w:next w:val="Normal"/>
    <w:qFormat/>
    <w:pPr>
      <w:tabs>
        <w:tab w:val="clear" w:pos="709"/>
        <w:tab w:val="left" w:pos="7080" w:leader="none"/>
        <w:tab w:val="right" w:pos="9923" w:leader="none"/>
      </w:tabs>
      <w:spacing w:before="0" w:after="60"/>
      <w:contextualSpacing/>
      <w:jc w:val="center"/>
    </w:pPr>
    <w:rPr>
      <w:b/>
      <w:sz w:val="40"/>
      <w:szCs w:val="40"/>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Nadpiskapitoly">
    <w:name w:val="Nadpis kapitoly"/>
    <w:basedOn w:val="Nadpislnku"/>
    <w:next w:val="Textnormy"/>
    <w:qFormat/>
    <w:pPr>
      <w:spacing w:before="240" w:after="180"/>
    </w:pPr>
    <w:rPr>
      <w:sz w:val="24"/>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NN-2-23">
    <w:name w:val="1StrNN-2-23"/>
    <w:basedOn w:val="1StrNN-1-23"/>
    <w:qFormat/>
    <w:pPr>
      <w:spacing w:before="480" w:after="0"/>
    </w:pPr>
    <w:rPr/>
  </w:style>
  <w:style w:type="paragraph" w:styleId="Cizojazynnzev">
    <w:name w:val="Cizojazyčný název"/>
    <w:basedOn w:val="Textnormy"/>
    <w:qFormat/>
    <w:pPr>
      <w:widowControl w:val="false"/>
      <w:suppressAutoHyphens w:val="true"/>
      <w:jc w:val="start"/>
    </w:pPr>
    <w:rPr>
      <w:sz w:val="18"/>
      <w:lang w:val="en-GB"/>
    </w:rPr>
  </w:style>
  <w:style w:type="paragraph" w:styleId="slovanseznam">
    <w:name w:val="Číslovaný seznam"/>
    <w:basedOn w:val="Textnormy"/>
    <w:qFormat/>
    <w:pPr>
      <w:numPr>
        <w:ilvl w:val="0"/>
        <w:numId w:val="8"/>
      </w:numPr>
      <w:ind w:hanging="284" w:start="284" w:end="0"/>
    </w:pPr>
    <w:rPr/>
  </w:style>
  <w:style w:type="paragraph" w:styleId="Index1">
    <w:name w:val="index 1"/>
    <w:basedOn w:val="Textnormy"/>
    <w:next w:val="Textnormy"/>
    <w:pPr>
      <w:tabs>
        <w:tab w:val="clear" w:pos="709"/>
        <w:tab w:val="right" w:pos="9923" w:leader="none"/>
      </w:tabs>
      <w:spacing w:before="0" w:after="60"/>
      <w:ind w:hanging="198" w:start="198" w:end="0"/>
      <w:jc w:val="start"/>
    </w:pPr>
    <w:rPr>
      <w:sz w:val="18"/>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Poznmka">
    <w:name w:val="Poznámka"/>
    <w:basedOn w:val="Textnormy"/>
    <w:next w:val="Textnormy"/>
    <w:qFormat/>
    <w:pPr>
      <w:spacing w:before="80" w:after="200"/>
    </w:pPr>
    <w:rPr>
      <w:sz w:val="18"/>
    </w:rPr>
  </w:style>
  <w:style w:type="paragraph" w:styleId="Seznampoznmek">
    <w:name w:val="Seznam poznámek"/>
    <w:basedOn w:val="Poznmka"/>
    <w:qFormat/>
    <w:pPr>
      <w:numPr>
        <w:ilvl w:val="0"/>
        <w:numId w:val="14"/>
      </w:numPr>
      <w:spacing w:before="0" w:after="120"/>
      <w:ind w:hanging="284" w:start="284"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Textnormy"/>
    <w:pPr/>
    <w:rPr>
      <w:sz w:val="18"/>
    </w:rPr>
  </w:style>
  <w:style w:type="paragraph" w:styleId="Footer">
    <w:name w:val="footer"/>
    <w:basedOn w:val="Textnormy"/>
    <w:pPr>
      <w:jc w:val="center"/>
    </w:pPr>
    <w:rPr>
      <w:sz w:val="18"/>
    </w:rPr>
  </w:style>
  <w:style w:type="paragraph" w:styleId="TOC1">
    <w:name w:val="toc 1"/>
    <w:basedOn w:val="Textnormy"/>
    <w:next w:val="Textnormy"/>
    <w:pPr>
      <w:tabs>
        <w:tab w:val="clear" w:pos="709"/>
        <w:tab w:val="right" w:pos="9752" w:leader="dot"/>
        <w:tab w:val="right" w:pos="9923" w:leader="none"/>
      </w:tabs>
      <w:ind w:hanging="567" w:start="567" w:end="0"/>
      <w:jc w:val="start"/>
    </w:pPr>
    <w:rPr>
      <w:sz w:val="18"/>
      <w:lang w:val="en-US" w:eastAsia="en-US"/>
    </w:rPr>
  </w:style>
  <w:style w:type="paragraph" w:styleId="TOC2">
    <w:name w:val="toc 2"/>
    <w:basedOn w:val="TOC1"/>
    <w:next w:val="Textnormy"/>
    <w:pPr/>
    <w:rPr/>
  </w:style>
  <w:style w:type="paragraph" w:styleId="slovanseznamvnorm">
    <w:name w:val="Číslovaný seznam v normě"/>
    <w:basedOn w:val="Textnormy"/>
    <w:qFormat/>
    <w:pPr>
      <w:numPr>
        <w:ilvl w:val="0"/>
        <w:numId w:val="9"/>
      </w:numPr>
      <w:tabs>
        <w:tab w:val="clear" w:pos="709"/>
      </w:tabs>
    </w:pPr>
    <w:rPr/>
  </w:style>
  <w:style w:type="paragraph" w:styleId="bibliografie">
    <w:name w:val="bibliografie"/>
    <w:basedOn w:val="slovanseznamvnorm"/>
    <w:next w:val="Textnormy"/>
    <w:qFormat/>
    <w:pPr>
      <w:numPr>
        <w:ilvl w:val="0"/>
        <w:numId w:val="4"/>
      </w:numPr>
      <w:ind w:hanging="567" w:start="567" w:end="0"/>
    </w:pPr>
    <w:rPr/>
  </w:style>
  <w:style w:type="paragraph" w:styleId="TOC3">
    <w:name w:val="toc 3"/>
    <w:basedOn w:val="TOC1"/>
    <w:next w:val="Textnormy"/>
    <w:pPr/>
    <w:rPr/>
  </w:style>
  <w:style w:type="paragraph" w:styleId="TOC4">
    <w:name w:val="toc 4"/>
    <w:basedOn w:val="TOC1"/>
    <w:next w:val="Textnormy"/>
    <w:pPr/>
    <w:rPr/>
  </w:style>
  <w:style w:type="paragraph" w:styleId="TOC6">
    <w:name w:val="toc 6"/>
    <w:basedOn w:val="TOC1"/>
    <w:next w:val="Textnormy"/>
    <w:pPr/>
    <w:rPr/>
  </w:style>
  <w:style w:type="paragraph" w:styleId="TOC7">
    <w:name w:val="toc 7"/>
    <w:basedOn w:val="TOC1"/>
    <w:next w:val="Textnormy"/>
    <w:pPr/>
    <w:rPr/>
  </w:style>
  <w:style w:type="paragraph" w:styleId="TOC8">
    <w:name w:val="toc 8"/>
    <w:basedOn w:val="TOC1"/>
    <w:next w:val="Textnormy"/>
    <w:pPr/>
    <w:rPr/>
  </w:style>
  <w:style w:type="paragraph" w:styleId="ABCseznamCZ">
    <w:name w:val="ABC seznamCZ"/>
    <w:basedOn w:val="Textnormy"/>
    <w:qFormat/>
    <w:pPr>
      <w:numPr>
        <w:ilvl w:val="0"/>
        <w:numId w:val="13"/>
      </w:numPr>
    </w:pPr>
    <w:rPr/>
  </w:style>
  <w:style w:type="paragraph" w:styleId="Seznamvnorm">
    <w:name w:val="Seznam v normě"/>
    <w:basedOn w:val="Textnormy"/>
    <w:qFormat/>
    <w:pPr>
      <w:numPr>
        <w:ilvl w:val="0"/>
        <w:numId w:val="2"/>
      </w:numPr>
      <w:tabs>
        <w:tab w:val="clear" w:pos="709"/>
      </w:tabs>
      <w:ind w:hanging="284" w:start="284" w:end="0"/>
    </w:pPr>
    <w:rPr/>
  </w:style>
  <w:style w:type="paragraph" w:styleId="Obrzek">
    <w:name w:val="Obrázek"/>
    <w:basedOn w:val="Textnormy"/>
    <w:next w:val="NadpisTabObr"/>
    <w:qFormat/>
    <w:pPr>
      <w:keepNext w:val="true"/>
      <w:spacing w:before="0" w:after="160"/>
      <w:jc w:val="center"/>
    </w:pPr>
    <w:rPr/>
  </w:style>
  <w:style w:type="paragraph" w:styleId="NadpisTabObr">
    <w:name w:val="NadpisTabObr"/>
    <w:basedOn w:val="Nadpislnku"/>
    <w:next w:val="Textnormy"/>
    <w:qFormat/>
    <w:pPr>
      <w:keepNext w:val="false"/>
      <w:jc w:val="center"/>
    </w:pPr>
    <w:rPr/>
  </w:style>
  <w:style w:type="paragraph" w:styleId="Abecednseznam">
    <w:name w:val="Abecední seznam"/>
    <w:basedOn w:val="Textnormy"/>
    <w:qFormat/>
    <w:pPr>
      <w:numPr>
        <w:ilvl w:val="0"/>
        <w:numId w:val="10"/>
      </w:numPr>
      <w:tabs>
        <w:tab w:val="clear" w:pos="709"/>
      </w:tabs>
    </w:pPr>
    <w:rPr/>
  </w:style>
  <w:style w:type="paragraph" w:styleId="FootnoteText">
    <w:name w:val="footnote text"/>
    <w:basedOn w:val="Poznmka"/>
    <w:pPr>
      <w:spacing w:before="60" w:after="0"/>
    </w:pPr>
    <w:rPr/>
  </w:style>
  <w:style w:type="paragraph" w:styleId="TOC9">
    <w:name w:val="toc 9"/>
    <w:basedOn w:val="Normal"/>
    <w:next w:val="Normal"/>
    <w:pPr>
      <w:ind w:hanging="0" w:start="1600" w:end="0"/>
    </w:pPr>
    <w:rPr/>
  </w:style>
  <w:style w:type="paragraph" w:styleId="1Str1Rad">
    <w:name w:val="1Str1Rad"/>
    <w:basedOn w:val="Textnormy"/>
    <w:qFormat/>
    <w:pPr>
      <w:widowControl w:val="false"/>
      <w:tabs>
        <w:tab w:val="clear" w:pos="709"/>
        <w:tab w:val="left" w:pos="7371" w:leader="none"/>
        <w:tab w:val="right" w:pos="9923" w:leader="none"/>
      </w:tabs>
    </w:pPr>
    <w:rPr/>
  </w:style>
  <w:style w:type="paragraph" w:styleId="esknorma">
    <w:name w:val="Česká norma"/>
    <w:basedOn w:val="Textnormy"/>
    <w:next w:val="1Str1Rad"/>
    <w:qFormat/>
    <w:pPr>
      <w:spacing w:before="0" w:after="0"/>
      <w:jc w:val="start"/>
    </w:pPr>
    <w:rPr>
      <w:sz w:val="28"/>
    </w:rPr>
  </w:style>
  <w:style w:type="paragraph" w:styleId="Tir">
    <w:name w:val="Tiráž"/>
    <w:basedOn w:val="Normal"/>
    <w:qFormat/>
    <w:pPr/>
    <w:rPr>
      <w:sz w:val="16"/>
      <w:lang w:val="en-US" w:eastAsia="en-US"/>
    </w:rPr>
  </w:style>
  <w:style w:type="paragraph" w:styleId="IndexHeading">
    <w:name w:val="index heading"/>
    <w:basedOn w:val="Textnormy"/>
    <w:next w:val="Index1"/>
    <w:pPr>
      <w:spacing w:before="120" w:after="60"/>
      <w:jc w:val="start"/>
    </w:pPr>
    <w:rPr>
      <w:b/>
      <w:sz w:val="18"/>
    </w:rPr>
  </w:style>
  <w:style w:type="paragraph" w:styleId="Texttabulky">
    <w:name w:val="Text tabulky"/>
    <w:basedOn w:val="Textnormy"/>
    <w:qFormat/>
    <w:pPr>
      <w:suppressAutoHyphens w:val="true"/>
      <w:spacing w:before="60" w:after="60"/>
      <w:jc w:val="start"/>
    </w:pPr>
    <w:rPr>
      <w:sz w:val="18"/>
    </w:rPr>
  </w:style>
  <w:style w:type="paragraph" w:styleId="1StrCopyright">
    <w:name w:val="1StrCopyright"/>
    <w:basedOn w:val="Footer"/>
    <w:qFormat/>
    <w:pPr>
      <w:tabs>
        <w:tab w:val="clear" w:pos="709"/>
        <w:tab w:val="left" w:pos="2155" w:leader="none"/>
        <w:tab w:val="right" w:pos="9923" w:leader="none"/>
      </w:tabs>
      <w:spacing w:before="0" w:after="0"/>
      <w:ind w:hanging="2126" w:start="2126" w:end="0"/>
      <w:jc w:val="start"/>
    </w:pPr>
    <w:rPr/>
  </w:style>
  <w:style w:type="paragraph" w:styleId="EvropNorma">
    <w:name w:val="EvropNorma"/>
    <w:basedOn w:val="Textnormy"/>
    <w:qFormat/>
    <w:pPr>
      <w:pageBreakBefore/>
      <w:pBdr>
        <w:bottom w:val="single" w:sz="6" w:space="6" w:color="000000"/>
      </w:pBdr>
      <w:tabs>
        <w:tab w:val="clear" w:pos="709"/>
        <w:tab w:val="left" w:pos="8505" w:leader="none"/>
      </w:tabs>
      <w:jc w:val="start"/>
    </w:pPr>
    <w:rPr>
      <w:b/>
      <w:kern w:val="2"/>
      <w:sz w:val="24"/>
    </w:rPr>
  </w:style>
  <w:style w:type="paragraph" w:styleId="ICS">
    <w:name w:val="ICS"/>
    <w:basedOn w:val="Textnormy"/>
    <w:qFormat/>
    <w:pPr>
      <w:tabs>
        <w:tab w:val="clear" w:pos="709"/>
        <w:tab w:val="right" w:pos="9923" w:leader="none"/>
      </w:tabs>
      <w:spacing w:before="0" w:after="480"/>
    </w:pPr>
    <w:rPr>
      <w:kern w:val="2"/>
    </w:rPr>
  </w:style>
  <w:style w:type="paragraph" w:styleId="NzNorCZ">
    <w:name w:val="NázNorCZ"/>
    <w:basedOn w:val="Textnormy"/>
    <w:next w:val="NzNorUS"/>
    <w:qFormat/>
    <w:pPr>
      <w:suppressAutoHyphens w:val="true"/>
      <w:spacing w:before="0" w:after="240"/>
      <w:ind w:hanging="0" w:start="1134" w:end="1134"/>
      <w:jc w:val="center"/>
    </w:pPr>
    <w:rPr>
      <w:b/>
    </w:rPr>
  </w:style>
  <w:style w:type="paragraph" w:styleId="NzNorUS">
    <w:name w:val="NázNorUS"/>
    <w:basedOn w:val="Textnormy"/>
    <w:next w:val="NzNorFraGer"/>
    <w:qFormat/>
    <w:pPr>
      <w:suppressAutoHyphens w:val="true"/>
      <w:spacing w:before="0" w:after="240"/>
      <w:ind w:hanging="0" w:start="1134" w:end="1134"/>
      <w:jc w:val="center"/>
    </w:pPr>
    <w:rPr>
      <w:lang w:val="en-GB"/>
    </w:rPr>
  </w:style>
  <w:style w:type="paragraph" w:styleId="NzNorFraGer">
    <w:name w:val="NázNorFraGer"/>
    <w:basedOn w:val="Textnormy"/>
    <w:next w:val="Textnormy"/>
    <w:qFormat/>
    <w:pPr>
      <w:tabs>
        <w:tab w:val="clear" w:pos="709"/>
        <w:tab w:val="left" w:pos="4536" w:leader="none"/>
      </w:tabs>
      <w:suppressAutoHyphens w:val="true"/>
      <w:spacing w:before="0" w:after="480"/>
      <w:jc w:val="start"/>
    </w:pPr>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1StrNN-3-23">
    <w:name w:val="1StrNN-3-23"/>
    <w:basedOn w:val="1StrNN-1-23"/>
    <w:qFormat/>
    <w:pPr>
      <w:spacing w:before="300" w:after="0"/>
    </w:pPr>
    <w:rPr/>
  </w:style>
  <w:style w:type="paragraph" w:styleId="1StrNN-X">
    <w:name w:val="1StrNN-X"/>
    <w:basedOn w:val="1StrNN-1-23"/>
    <w:qFormat/>
    <w:pPr>
      <w:spacing w:before="180" w:after="180"/>
    </w:pPr>
    <w:rPr/>
  </w:style>
  <w:style w:type="paragraph" w:styleId="Titulek">
    <w:name w:val="Titulek"/>
    <w:basedOn w:val="Normal"/>
    <w:next w:val="Normal"/>
    <w:qFormat/>
    <w:pPr>
      <w:spacing w:before="120" w:after="120"/>
    </w:pPr>
    <w:rPr>
      <w:b/>
    </w:rPr>
  </w:style>
  <w:style w:type="paragraph" w:styleId="1StrNN-1-4">
    <w:name w:val="1StrNN-1-4"/>
    <w:basedOn w:val="1StrNN-1-23"/>
    <w:qFormat/>
    <w:pPr>
      <w:spacing w:before="800" w:after="0"/>
    </w:pPr>
    <w:rPr/>
  </w:style>
  <w:style w:type="paragraph" w:styleId="1StrNN-2-4">
    <w:name w:val="1StrNN-2-4"/>
    <w:basedOn w:val="1StrNN-1-23"/>
    <w:qFormat/>
    <w:pPr/>
    <w:rPr/>
  </w:style>
  <w:style w:type="paragraph" w:styleId="1StrNN-3-4">
    <w:name w:val="1StrNN-3-4"/>
    <w:basedOn w:val="1StrNN-1-23"/>
    <w:qFormat/>
    <w:pPr>
      <w:spacing w:before="460" w:after="0"/>
    </w:pPr>
    <w:rPr/>
  </w:style>
  <w:style w:type="paragraph" w:styleId="1StrNN-4-4">
    <w:name w:val="1StrNN-4-4"/>
    <w:basedOn w:val="1StrNN-1-23"/>
    <w:qFormat/>
    <w:pPr>
      <w:spacing w:before="340" w:after="0"/>
    </w:pPr>
    <w:rPr/>
  </w:style>
  <w:style w:type="paragraph" w:styleId="ABCSeznamUS">
    <w:name w:val="ABC SeznamUS"/>
    <w:basedOn w:val="Textnormy"/>
    <w:qFormat/>
    <w:pPr>
      <w:numPr>
        <w:ilvl w:val="0"/>
        <w:numId w:val="3"/>
      </w:numPr>
      <w:tabs>
        <w:tab w:val="clear" w:pos="709"/>
      </w:tabs>
    </w:pPr>
    <w:rPr>
      <w:lang w:val="en-US"/>
    </w:rPr>
  </w:style>
  <w:style w:type="paragraph" w:styleId="TextnormyUS">
    <w:name w:val="Text normy US"/>
    <w:basedOn w:val="Textnormy"/>
    <w:qFormat/>
    <w:pPr>
      <w:spacing w:before="0" w:after="0"/>
    </w:pPr>
    <w:rPr>
      <w:lang w:val="en-US" w:eastAsia="en-US"/>
    </w:rPr>
  </w:style>
  <w:style w:type="paragraph" w:styleId="Textnormy1str">
    <w:name w:val="Text normy 1str"/>
    <w:basedOn w:val="Textnormy"/>
    <w:qFormat/>
    <w:pPr>
      <w:jc w:val="start"/>
    </w:pPr>
    <w:rPr/>
  </w:style>
  <w:style w:type="paragraph" w:styleId="1StrNN-4-3">
    <w:name w:val="1StrNN-4-3"/>
    <w:basedOn w:val="1StrNN-1-23"/>
    <w:qFormat/>
    <w:pPr>
      <w:spacing w:before="160" w:after="0"/>
    </w:pPr>
    <w:rPr/>
  </w:style>
  <w:style w:type="paragraph" w:styleId="Upozornn">
    <w:name w:val="Upozornění"/>
    <w:basedOn w:val="Normal"/>
    <w:qFormat/>
    <w:pPr>
      <w:jc w:val="both"/>
    </w:pPr>
    <w:rPr>
      <w:sz w:val="18"/>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Pedmtkomente">
    <w:name w:val="Předmět komentáře"/>
    <w:basedOn w:val="Textkomente"/>
    <w:next w:val="Textkomente"/>
    <w:qFormat/>
    <w:pPr/>
    <w:rPr>
      <w:b/>
      <w:bCs/>
    </w:rPr>
  </w:style>
  <w:style w:type="paragraph" w:styleId="normal1">
    <w:name w:val="normal1"/>
    <w:qFormat/>
    <w:pPr>
      <w:widowControl/>
      <w:bidi w:val="0"/>
      <w:spacing w:before="0" w:after="120"/>
      <w:jc w:val="both"/>
    </w:pPr>
    <w:rPr>
      <w:rFonts w:ascii="Arial" w:hAnsi="Arial" w:eastAsia="Arial" w:cs="Arial"/>
      <w:color w:val="000000"/>
      <w:sz w:val="20"/>
      <w:szCs w:val="20"/>
      <w:lang w:val="cs-CZ" w:bidi="ar-SA" w:eastAsia="zh-CN"/>
    </w:rPr>
  </w:style>
  <w:style w:type="paragraph" w:styleId="Subtitle">
    <w:name w:val="Subtitle"/>
    <w:basedOn w:val="normal1"/>
    <w:next w:val="normal1"/>
    <w:qFormat/>
    <w:pPr>
      <w:keepNext w:val="true"/>
      <w:keepLines/>
      <w:spacing w:before="180" w:after="180"/>
      <w:ind w:hanging="0" w:start="0" w:end="567"/>
      <w:contextualSpacing/>
    </w:pPr>
    <w:rPr>
      <w:b/>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tsterminology.or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hyperlink" Target="http://www.ITSterminology.or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Normy14i</Template>
  <TotalTime>7</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2015-12-11T19:26:00Z</dcterms:created>
  <dc:creator>lens</dc:creator>
  <dc:description/>
  <dc:language>en-US</dc:language>
  <cp:lastModifiedBy>lens</cp:lastModifiedBy>
  <cp:lastPrinted>2016-01-11T18:18:00Z</cp:lastPrinted>
  <dcterms:modified xsi:type="dcterms:W3CDTF">2016-01-11T17:24:00Z</dcterms:modified>
  <cp:revision>4</cp:revision>
  <dc:subject/>
  <dc:title/>
</cp:coreProperties>
</file>