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ICS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Inteligentní dopravní systémy – Automatická identifikace vozidel, zařízení a nákladů (AVI/AEI) – Aplikační profil interoperability AVI/AEI a identifikace elektronické registrace (ERI) pomocí vyhrazeného spojení krátkého dosahu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b w:val="false"/>
                <w:sz w:val="28"/>
              </w:rPr>
            </w:pPr>
            <w:r>
              <w:rPr/>
              <w:t>ČSN</w:t>
              <w:br/>
              <w:t>EN 16312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>01 8345</w:t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ab/>
        <w:t>44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 xml:space="preserve">CEN/TC 278 vytvořila soubor norem, které podporují interoperabilitu automatické identifikace vozidel a automatické identifikace zařízení pomocí systémů založených na vyhrazeném spojení krátkého dosahu (DSRC). I když jsou tyto normy nezbytné, </w:t>
      </w:r>
      <w:r>
        <w:rPr>
          <w:b/>
        </w:rPr>
        <w:t>nestačí</w:t>
      </w:r>
      <w:r>
        <w:rPr/>
        <w:t xml:space="preserve"> k zajištění technické interoperability. </w:t>
      </w:r>
    </w:p>
    <w:p>
      <w:pPr>
        <w:pStyle w:val="Textnormy"/>
        <w:rPr/>
      </w:pPr>
      <w:r>
        <w:rPr/>
        <w:t xml:space="preserve">Tato evropská norma stanoví ucelený soubor požadavků na aplikace AVI/AEI, který má sloužit jako společná technická platforma pro interoperabilitu AVI/AEI (kompatibilitu zařízení mezi jeho dodavateli a technickou kompatibilitu mezi jednotlivými AVI/AEI systémy). Definuje aplikační profil interoperability pro AVI/AEI a identifikaci elektronické registrace (ERI) pomocí CEN DSRC. </w:t>
      </w:r>
    </w:p>
    <w:p>
      <w:pPr>
        <w:pStyle w:val="Textnormy"/>
        <w:rPr/>
      </w:pPr>
      <w:r>
        <w:rPr/>
        <w:t xml:space="preserve">Aplikační profil interoperability je definován </w:t>
      </w:r>
      <w:r>
        <w:rPr>
          <w:b/>
        </w:rPr>
        <w:t>pomocí požadavků na ověřování shody</w:t>
      </w:r>
      <w:r>
        <w:rPr/>
        <w:t>. K usnadnění odkazování, zkoušení a vyhledávání jsou tyto požadavky rozděleny na dvě části; požadavky na tag elektronické registrace (ERT) a požadavky na čtecí/zapisovací zařízení ERI (ERR).</w:t>
      </w:r>
    </w:p>
    <w:p>
      <w:pPr>
        <w:pStyle w:val="Textnormy"/>
        <w:rPr/>
      </w:pPr>
      <w:r>
        <w:rPr/>
        <w:t>Kromě toho norma obsahuje také různé přílohy, které poskytují další podrobné specifikace, stejně jako pozadí, důvody a příklady pro požadavky na ověřování shody. Záměrem je, aby zlepšily čitelnost a porozumění této normě.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/>
      </w:pPr>
      <w:r>
        <w:rPr/>
        <w:t xml:space="preserve">Tato norma je založena na základních normách pro automatickou identifikaci vozidla a zařízení AVI/AEI, jako jsou ISO 14816, ISO 17264 a ISO 24534. Proto tento aplikační profil interoperability </w:t>
      </w:r>
      <w:r>
        <w:rPr>
          <w:b/>
        </w:rPr>
        <w:t>umožňuje dalším implementacím aplikace AVI/AEI použít prvky této normy jako základu pro technickou interoperabilitu</w:t>
      </w:r>
      <w:r>
        <w:rPr/>
        <w:t>.</w:t>
      </w:r>
    </w:p>
    <w:p>
      <w:pPr>
        <w:pStyle w:val="Seznamvnorm"/>
        <w:numPr>
          <w:ilvl w:val="0"/>
          <w:numId w:val="0"/>
        </w:numPr>
        <w:ind w:hanging="0" w:start="0"/>
        <w:rPr/>
      </w:pPr>
      <w:r>
        <w:rPr/>
        <w:t xml:space="preserve">Aplikační profil je popsán pomocí konceptu „mezinárodní normalizované profily (ISP)“, který je definován v ISO/IEC TR 10000-1. ISP koncept je speciálně vhodný pro definování specifikací interoperability, kde lze soubor základních norem použít různými způsoby. </w:t>
      </w:r>
    </w:p>
    <w:p>
      <w:pPr>
        <w:pStyle w:val="Textnormy"/>
        <w:rPr/>
      </w:pPr>
      <w:r>
        <w:rPr/>
        <w:t>Tato norma, mimo jiné:</w:t>
      </w:r>
    </w:p>
    <w:p>
      <w:pPr>
        <w:pStyle w:val="Normal"/>
        <w:numPr>
          <w:ilvl w:val="0"/>
          <w:numId w:val="6"/>
        </w:numPr>
        <w:rPr/>
      </w:pPr>
      <w:r>
        <w:rPr/>
        <w:t>definuje nezbytné a dostatečné DSRC požadavky na podporu technické interoperability;</w:t>
      </w:r>
    </w:p>
    <w:p>
      <w:pPr>
        <w:pStyle w:val="Normal"/>
        <w:numPr>
          <w:ilvl w:val="0"/>
          <w:numId w:val="6"/>
        </w:numPr>
        <w:rPr/>
      </w:pPr>
      <w:r>
        <w:rPr/>
        <w:t>nabízí výběr datových prvků, včetně dat o vozidle;</w:t>
      </w:r>
    </w:p>
    <w:p>
      <w:pPr>
        <w:pStyle w:val="Normal"/>
        <w:numPr>
          <w:ilvl w:val="0"/>
          <w:numId w:val="6"/>
        </w:numPr>
        <w:rPr/>
      </w:pPr>
      <w:r>
        <w:rPr/>
        <w:t>stanoví jasné rozhodnutí pro implementaci zabezpečení;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usnadňuje doplňující zkušební specifikace </w:t>
      </w:r>
    </w:p>
    <w:p>
      <w:pPr>
        <w:pStyle w:val="Normal"/>
        <w:numPr>
          <w:ilvl w:val="0"/>
          <w:numId w:val="6"/>
        </w:numPr>
        <w:rPr/>
      </w:pPr>
      <w:r>
        <w:rPr/>
        <w:t>poskytuje dobrou podporu pro veřejné zakázky.</w:t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  <w:t xml:space="preserve">Dle výše zmíněného výčtu je zřejmé že norma je, díky přesné specifikaci potřebných vlastností a parametrů ale také kvůli návodům na vyplnění ICS v dodatcích, vhodná jak </w:t>
      </w:r>
      <w:r>
        <w:rPr>
          <w:b/>
        </w:rPr>
        <w:t>pro zkušební laboratoře</w:t>
      </w:r>
      <w:r>
        <w:rPr/>
        <w:t xml:space="preserve"> a </w:t>
      </w:r>
      <w:r>
        <w:rPr>
          <w:b/>
        </w:rPr>
        <w:t>výrobce zařízení ERI</w:t>
      </w:r>
      <w:r>
        <w:rPr/>
        <w:t xml:space="preserve"> tak i pro </w:t>
      </w:r>
      <w:r>
        <w:rPr>
          <w:b/>
        </w:rPr>
        <w:t>státní správu</w:t>
      </w:r>
      <w:r>
        <w:rPr/>
        <w:t xml:space="preserve">, která může díky této normě </w:t>
      </w:r>
      <w:r>
        <w:rPr>
          <w:b/>
        </w:rPr>
        <w:t>vypisovat přesnější tendry</w:t>
      </w:r>
      <w:r>
        <w:rPr/>
        <w:t xml:space="preserve"> na dodání zařízení.</w:t>
      </w:r>
    </w:p>
    <w:p>
      <w:pPr>
        <w:pStyle w:val="Textnormy"/>
        <w:rPr/>
      </w:pPr>
      <w:r>
        <w:rPr/>
      </w:r>
      <w:r>
        <w:br w:type="page"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Souvisící normy</w:t>
      </w:r>
    </w:p>
    <w:p>
      <w:pPr>
        <w:pStyle w:val="Textnormy"/>
        <w:rPr/>
      </w:pPr>
      <w:r>
        <w:rPr/>
        <w:t xml:space="preserve">Tato norma aplikačního profilu vychází z norem na aplikační profil interoperability EFC EN 15509:2007 a DSRC (EN 13372) a poté z norem specifikujících jednotlivá rozhraní (EN ISO 14906:2011 a ISO 17264:2009 a EN 12834). Tato evropská norma souvisí se souborem norem stanovujících „posuzování shody“ pomocí „požadavků na shodu“ pro vrstvu 1, vrstvu 2 a vrstvu 7 CEN DSRC implementace (vrstvy 1 2 a 7 odpovídají modelu ISO OSI). </w:t>
      </w:r>
    </w:p>
    <w:p>
      <w:pPr>
        <w:pStyle w:val="Ilustrace"/>
        <w:rPr/>
      </w:pPr>
      <w:r>
        <w:rPr/>
        <w:drawing>
          <wp:inline distT="0" distB="0" distL="0" distR="0">
            <wp:extent cx="5758815" cy="2362200"/>
            <wp:effectExtent l="0" t="0" r="0" b="0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5" r="-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 xml:space="preserve">Obrázek 1 – Vztah mezi základními normami ERI a touto normou (viz obr. 3 normy)</w:t>
      </w:r>
    </w:p>
    <w:p>
      <w:pPr>
        <w:pStyle w:val="Textnormy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Textnormy"/>
        <w:rPr/>
      </w:pPr>
      <w:r>
        <w:rPr/>
        <w:t xml:space="preserve">Předmět této normy se omezuje na požadavky na: </w:t>
      </w:r>
    </w:p>
    <w:p>
      <w:pPr>
        <w:pStyle w:val="Textnormy"/>
        <w:numPr>
          <w:ilvl w:val="0"/>
          <w:numId w:val="14"/>
        </w:numPr>
        <w:rPr/>
      </w:pPr>
      <w:r>
        <w:rPr/>
        <w:t>systémy ERT, ERR a jejich DSRC rozhraní</w:t>
      </w:r>
      <w:r>
        <w:rPr>
          <w:lang w:val="en-US"/>
        </w:rPr>
        <w:t>;</w:t>
      </w:r>
      <w:r>
        <w:rPr/>
        <w:t xml:space="preserve"> </w:t>
      </w:r>
    </w:p>
    <w:p>
      <w:pPr>
        <w:pStyle w:val="Textnormy"/>
        <w:numPr>
          <w:ilvl w:val="0"/>
          <w:numId w:val="14"/>
        </w:numPr>
        <w:rPr/>
      </w:pPr>
      <w:r>
        <w:rPr/>
        <w:t xml:space="preserve">spojení DSRC; na ERI relace přes toto rozhraní DSRC; </w:t>
      </w:r>
    </w:p>
    <w:p>
      <w:pPr>
        <w:pStyle w:val="Textnormy"/>
        <w:numPr>
          <w:ilvl w:val="0"/>
          <w:numId w:val="14"/>
        </w:numPr>
        <w:rPr/>
      </w:pPr>
      <w:r>
        <w:rPr/>
        <w:t xml:space="preserve">datové prvky používané ERT a ERR při relaci ERI a </w:t>
      </w:r>
    </w:p>
    <w:p>
      <w:pPr>
        <w:pStyle w:val="Textnormy"/>
        <w:numPr>
          <w:ilvl w:val="0"/>
          <w:numId w:val="14"/>
        </w:numPr>
        <w:rPr/>
      </w:pPr>
      <w:r>
        <w:rPr/>
        <w:t>mechanismy zabezpečení pro ERT a ERR používané při relaci ERI.</w:t>
      </w:r>
    </w:p>
    <w:p>
      <w:pPr>
        <w:pStyle w:val="Seznamvnorm"/>
        <w:numPr>
          <w:ilvl w:val="0"/>
          <w:numId w:val="0"/>
        </w:numPr>
        <w:ind w:hanging="0" w:start="0"/>
        <w:rPr/>
      </w:pPr>
      <w:r>
        <w:rPr/>
        <w:t xml:space="preserve">Do předmětu této normy </w:t>
      </w:r>
      <w:r>
        <w:rPr>
          <w:b/>
        </w:rPr>
        <w:t>nespadají</w:t>
      </w:r>
      <w:r>
        <w:rPr/>
        <w:t xml:space="preserve"> smluvní a procesní požadavky na interoperabilitu, postupy shody a zkušební specifikace, použití jiných komunikačních technologií a jiná rozhraní nebo funkce v systémech ERI</w:t>
      </w:r>
    </w:p>
    <w:p>
      <w:pPr>
        <w:pStyle w:val="Seznamvnorm"/>
        <w:numPr>
          <w:ilvl w:val="0"/>
          <w:numId w:val="0"/>
        </w:numPr>
        <w:ind w:hanging="0" w:start="0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2 Citované dokumenty</w:t>
      </w:r>
    </w:p>
    <w:p>
      <w:pPr>
        <w:pStyle w:val="Textnormy"/>
        <w:rPr/>
      </w:pPr>
      <w:r>
        <w:rPr/>
        <w:t xml:space="preserve">Tato kapitola definuje 7 </w:t>
      </w:r>
      <w:r>
        <w:rPr>
          <w:i/>
          <w:color w:val="000000"/>
          <w:lang w:val="en-US" w:eastAsia="en-US"/>
        </w:rPr>
        <w:t>technických</w:t>
      </w:r>
      <w:r>
        <w:rPr/>
        <w:t xml:space="preserve"> norem odkazované touto normou. 3 jsou na DSRC, 2 na AVI/AEI a po jedné na EFC a zkoušení. </w:t>
      </w:r>
    </w:p>
    <w:p>
      <w:pPr>
        <w:pStyle w:val="Textnormy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Termíny a definice</w:t>
      </w:r>
    </w:p>
    <w:p>
      <w:pPr>
        <w:pStyle w:val="Normal"/>
        <w:rPr/>
      </w:pPr>
      <w:r>
        <w:rPr/>
        <w:t xml:space="preserve">V této kapitole je obsaženo 22 termínů, klíčové jsou:</w:t>
      </w:r>
    </w:p>
    <w:p>
      <w:pPr>
        <w:pStyle w:val="Normal"/>
        <w:rPr/>
      </w:pPr>
      <w:r>
        <w:rPr/>
      </w:r>
    </w:p>
    <w:p>
      <w:pPr>
        <w:pStyle w:val="Textnormy"/>
        <w:rPr/>
      </w:pPr>
      <w:r>
        <w:rPr>
          <w:b/>
          <w:color w:val="000000"/>
          <w:lang w:val="en-US" w:eastAsia="en-US"/>
        </w:rPr>
        <w:t xml:space="preserve">čtečka/zapisovací zařízení elektronické registrace</w:t>
      </w:r>
      <w:r>
        <w:rPr>
          <w:color w:val="000000"/>
          <w:lang w:val="en-US" w:eastAsia="en-US"/>
        </w:rPr>
        <w:t xml:space="preserve"> </w:t>
      </w:r>
      <w:r>
        <w:rPr>
          <w:i/>
          <w:color w:val="000000"/>
          <w:lang w:val="en-US" w:eastAsia="en-US"/>
        </w:rPr>
        <w:t xml:space="preserve">(Electronic Registration Reader / Writer)</w:t>
      </w:r>
      <w:r>
        <w:rPr>
          <w:color w:val="000000"/>
          <w:lang w:val="en-US" w:eastAsia="en-US"/>
        </w:rPr>
        <w:t xml:space="preserve"> ERR – zařízení používané pro čtení/zápis dat z nebo do „tagu elektronické registrace“ ERT</w:t>
      </w:r>
    </w:p>
    <w:p>
      <w:pPr>
        <w:pStyle w:val="Textnormy"/>
        <w:rPr/>
      </w:pPr>
      <w:r>
        <w:rPr>
          <w:b/>
          <w:color w:val="000000"/>
          <w:lang w:val="en-US" w:eastAsia="en-US"/>
        </w:rPr>
        <w:t xml:space="preserve">tag elektronické registrace</w:t>
      </w:r>
      <w:r>
        <w:rPr>
          <w:color w:val="000000"/>
          <w:lang w:val="en-US" w:eastAsia="en-US"/>
        </w:rPr>
        <w:t xml:space="preserve"> </w:t>
      </w:r>
      <w:r>
        <w:rPr>
          <w:i/>
          <w:color w:val="000000"/>
          <w:lang w:val="en-US" w:eastAsia="en-US"/>
        </w:rPr>
        <w:t xml:space="preserve">(Electronic Registration Tag)</w:t>
      </w:r>
      <w:r>
        <w:rPr>
          <w:color w:val="000000"/>
          <w:lang w:val="en-US" w:eastAsia="en-US"/>
        </w:rPr>
        <w:t xml:space="preserve"> ERT – palubní zařízení ERI, které obsahuje data ERI s relevantním zabezpečením a jedno nebo více rozhraní pro přístup k datům</w:t>
      </w:r>
    </w:p>
    <w:p>
      <w:pPr>
        <w:pStyle w:val="Textnormy"/>
        <w:rPr/>
      </w:pPr>
      <w:r>
        <w:rPr>
          <w:b/>
          <w:color w:val="000000"/>
          <w:lang w:val="en-US" w:eastAsia="en-US"/>
        </w:rPr>
        <w:t xml:space="preserve">ERI relace</w:t>
      </w:r>
      <w:r>
        <w:rPr>
          <w:color w:val="000000"/>
          <w:lang w:val="en-US" w:eastAsia="en-US"/>
        </w:rPr>
        <w:t xml:space="preserve"> </w:t>
      </w:r>
      <w:r>
        <w:rPr>
          <w:i/>
          <w:color w:val="000000"/>
          <w:lang w:val="en-US" w:eastAsia="en-US"/>
        </w:rPr>
        <w:t xml:space="preserve">(ERI session)</w:t>
      </w:r>
      <w:r>
        <w:rPr>
          <w:color w:val="000000"/>
          <w:lang w:val="en-US" w:eastAsia="en-US"/>
        </w:rPr>
        <w:t xml:space="preserve"> – určitý výskyt „Identifikace vozidla“ používající harmonizovaný protokol bezdrátového rozhraní známý jako „profil CEN DSRC“, pomocí určité sady „AVI/AEI atributů“, získaných „základními službami (komunikace)“ a „mechanismy zabezpečení“ stanovených v příloze B této normy</w:t>
      </w:r>
    </w:p>
    <w:p>
      <w:pPr>
        <w:pStyle w:val="Normal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4 Zkratky</w:t>
      </w:r>
    </w:p>
    <w:p>
      <w:pPr>
        <w:pStyle w:val="Normal"/>
        <w:rPr/>
      </w:pPr>
      <w:r>
        <w:rPr/>
        <w:t xml:space="preserve">V této kapitole je obsaženo 27 zkratek, klíčové jsou:</w:t>
      </w:r>
    </w:p>
    <w:p>
      <w:pPr>
        <w:pStyle w:val="Normal"/>
        <w:rPr/>
      </w:pPr>
      <w:r>
        <w:rPr/>
      </w:r>
    </w:p>
    <w:p>
      <w:pPr>
        <w:pStyle w:val="Textnormy"/>
        <w:tabs>
          <w:tab w:val="clear" w:pos="708"/>
          <w:tab w:val="left" w:pos="709" w:leader="none"/>
        </w:tabs>
        <w:rPr/>
      </w:pPr>
      <w:r>
        <w:rPr>
          <w:b/>
        </w:rPr>
        <w:t>IAP</w:t>
      </w:r>
      <w:r>
        <w:rPr/>
        <w:tab/>
        <w:t xml:space="preserve">aplikační profil interoperability </w:t>
      </w:r>
      <w:r>
        <w:rPr>
          <w:i/>
        </w:rPr>
        <w:t>(Interoperable Application Profile)</w:t>
      </w:r>
      <w:r>
        <w:rPr/>
        <w:t xml:space="preserve"> </w:t>
      </w:r>
    </w:p>
    <w:p>
      <w:pPr>
        <w:pStyle w:val="Textnormy"/>
        <w:tabs>
          <w:tab w:val="clear" w:pos="708"/>
          <w:tab w:val="left" w:pos="709" w:leader="none"/>
        </w:tabs>
        <w:rPr/>
      </w:pPr>
      <w:r>
        <w:rPr>
          <w:b/>
        </w:rPr>
        <w:t>ICS</w:t>
      </w:r>
      <w:r>
        <w:rPr/>
        <w:tab/>
        <w:t xml:space="preserve">prohlášení o shodě implementace </w:t>
      </w:r>
      <w:r>
        <w:rPr>
          <w:i/>
        </w:rPr>
        <w:t>(Implementation Conformance Statement)</w:t>
        <w:tab/>
      </w:r>
      <w:r>
        <w:rPr/>
        <w:t xml:space="preserve"> </w:t>
        <w:br/>
      </w:r>
    </w:p>
    <w:p>
      <w:pPr>
        <w:pStyle w:val="Textnormy"/>
        <w:rPr/>
      </w:pPr>
      <w:r>
        <w:rPr>
          <w:b/>
          <w:sz w:val="22"/>
          <w:szCs w:val="22"/>
        </w:rPr>
        <w:t>5 Shoda</w:t>
      </w:r>
      <w:r>
        <w:rPr/>
        <w:t xml:space="preserve"> </w:t>
      </w:r>
    </w:p>
    <w:p>
      <w:pPr>
        <w:pStyle w:val="Textnormy"/>
        <w:rPr/>
      </w:pPr>
      <w:r>
        <w:rPr/>
        <w:t xml:space="preserve">Tato kapitola obsahuje závazné požadavky na shodu: </w:t>
      </w:r>
    </w:p>
    <w:p>
      <w:pPr>
        <w:pStyle w:val="Normal"/>
        <w:numPr>
          <w:ilvl w:val="0"/>
          <w:numId w:val="6"/>
        </w:numPr>
        <w:rPr/>
      </w:pPr>
      <w:r>
        <w:rPr/>
        <w:t>ERT (čl. 5.1) pomocí odkazů na požadavky na OBU ustanovené v základních normách a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ERR (čl. 5.2) pomocí požadavků na RSE v EN 15509. </w:t>
      </w:r>
    </w:p>
    <w:p>
      <w:pPr>
        <w:pStyle w:val="Normal"/>
        <w:rPr/>
      </w:pPr>
      <w:r>
        <w:rPr/>
      </w:r>
    </w:p>
    <w:p>
      <w:pPr>
        <w:pStyle w:val="Textnormy"/>
        <w:rPr/>
      </w:pPr>
      <w:r>
        <w:rPr/>
        <w:t xml:space="preserve">Například požadavky na DSRC jsou vyjádřeny jako fráze odkazující na jiné normy: </w:t>
      </w:r>
    </w:p>
    <w:p>
      <w:pPr>
        <w:pStyle w:val="Textnormy"/>
        <w:numPr>
          <w:ilvl w:val="0"/>
          <w:numId w:val="4"/>
        </w:numPr>
        <w:rPr/>
      </w:pPr>
      <w:r>
        <w:rPr/>
        <w:t>„</w:t>
      </w:r>
      <w:r>
        <w:rPr>
          <w:i/>
        </w:rPr>
        <w:t>ERT musí být ve shodě s EN 15509:2007, 5.1.2</w:t>
      </w:r>
      <w:r>
        <w:rPr/>
        <w:t xml:space="preserve">“. </w:t>
      </w:r>
    </w:p>
    <w:p>
      <w:pPr>
        <w:pStyle w:val="Textnormy"/>
        <w:rPr/>
      </w:pPr>
      <w:r>
        <w:rPr/>
        <w:t>Tímto způsobem jsou postupně zmíněny požadavky na:</w:t>
      </w:r>
    </w:p>
    <w:p>
      <w:pPr>
        <w:pStyle w:val="Normal"/>
        <w:numPr>
          <w:ilvl w:val="0"/>
          <w:numId w:val="6"/>
        </w:numPr>
        <w:rPr/>
      </w:pPr>
      <w:r>
        <w:rPr/>
        <w:t>DSRC</w:t>
      </w:r>
    </w:p>
    <w:p>
      <w:pPr>
        <w:pStyle w:val="Normal"/>
        <w:numPr>
          <w:ilvl w:val="0"/>
          <w:numId w:val="6"/>
        </w:numPr>
        <w:rPr/>
      </w:pPr>
      <w:r>
        <w:rPr/>
        <w:t>DSRC L7 a ERI funkce</w:t>
      </w:r>
    </w:p>
    <w:p>
      <w:pPr>
        <w:pStyle w:val="Normal"/>
        <w:numPr>
          <w:ilvl w:val="0"/>
          <w:numId w:val="6"/>
        </w:numPr>
        <w:rPr/>
      </w:pPr>
      <w:r>
        <w:rPr/>
        <w:t>relaci ERI</w:t>
      </w:r>
    </w:p>
    <w:p>
      <w:pPr>
        <w:pStyle w:val="Normal"/>
        <w:rPr/>
      </w:pPr>
      <w:r>
        <w:rPr/>
      </w:r>
    </w:p>
    <w:p>
      <w:pPr>
        <w:pStyle w:val="Textnormy"/>
        <w:rPr/>
      </w:pPr>
      <w:r>
        <w:rPr/>
        <w:t>Požadavky na data a zabezpečení jsou pojaty různě jak u ERT tak u ERR. Jedná se o tabulky s výčty datových prvků, které musí být implementovány, zároveň se stanovením jejich hodnot.</w:t>
      </w:r>
    </w:p>
    <w:p>
      <w:pPr>
        <w:pStyle w:val="Textnormy"/>
        <w:rPr/>
      </w:pPr>
      <w:r>
        <w:rPr/>
        <w:t xml:space="preserve">Z požadavků uvedených v textu lze například zmínit: </w:t>
      </w:r>
    </w:p>
    <w:p>
      <w:pPr>
        <w:pStyle w:val="Textnormy"/>
        <w:numPr>
          <w:ilvl w:val="0"/>
          <w:numId w:val="9"/>
        </w:numPr>
        <w:rPr/>
      </w:pPr>
      <w:r>
        <w:rPr/>
        <w:t>„</w:t>
      </w:r>
      <w:r>
        <w:rPr>
          <w:i/>
        </w:rPr>
        <w:t>ERT/ERR musí být schopno vypočítat autentikátor, ERR musí provést derivaci klíče pro autentizační klíče podle postupů stanovených v EN 15509</w:t>
      </w:r>
      <w:r>
        <w:rPr/>
        <w:t>“</w:t>
      </w:r>
      <w:r>
        <w:rPr>
          <w:lang w:val="en-US"/>
        </w:rPr>
        <w:t xml:space="preserve">, a </w:t>
      </w:r>
      <w:r>
        <w:rPr/>
        <w:t xml:space="preserve">podobně. </w:t>
      </w:r>
    </w:p>
    <w:p>
      <w:pPr>
        <w:pStyle w:val="Textnormy"/>
        <w:rPr/>
      </w:pPr>
      <w:r>
        <w:rPr/>
        <w:t xml:space="preserve">Pro podrobné vysvětlení některých požadavků je odkazováno do příloh této normy. </w:t>
      </w:r>
    </w:p>
    <w:p>
      <w:pPr>
        <w:pStyle w:val="Normal"/>
        <w:rPr/>
      </w:pPr>
      <w:r>
        <w:rPr/>
      </w:r>
    </w:p>
    <w:p>
      <w:pPr>
        <w:pStyle w:val="Titulek"/>
        <w:keepNext w:val="true"/>
        <w:jc w:val="both"/>
        <w:rPr/>
      </w:pPr>
      <w:r>
        <w:rPr/>
        <w:t xml:space="preserve">Tabulka </w:t>
      </w:r>
      <w:r>
        <w:rPr/>
        <w:fldChar w:fldCharType="begin"/>
      </w:r>
      <w:r>
        <w:rPr/>
        <w:instrText xml:space="preserve"> SEQ Tabulka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Ukázka tabulky přehled ERI aplikačních dat s požadovanými atributy ERI, které musí být implementovány v OBU (viz Tabulka 1 normy)</w:t>
      </w:r>
    </w:p>
    <w:p>
      <w:pPr>
        <w:pStyle w:val="Tabulka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969635" cy="2456815"/>
            <wp:effectExtent l="0" t="0" r="0" b="0"/>
            <wp:docPr id="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7667" r="-5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245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eznamvnorm"/>
        <w:numPr>
          <w:ilvl w:val="0"/>
          <w:numId w:val="0"/>
        </w:numPr>
        <w:ind w:hanging="0" w:start="0"/>
        <w:rPr/>
      </w:pPr>
      <w:r>
        <w:rPr>
          <w:lang w:val="en-US" w:eastAsia="en-US"/>
        </w:rPr>
      </w:r>
    </w:p>
    <w:p>
      <w:pPr>
        <w:pStyle w:val="Textnormy"/>
        <w:tabs>
          <w:tab w:val="clear" w:pos="708"/>
          <w:tab w:val="right" w:pos="9923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Přílohy</w:t>
      </w:r>
    </w:p>
    <w:p>
      <w:pPr>
        <w:pStyle w:val="Textnormy"/>
        <w:tabs>
          <w:tab w:val="clear" w:pos="708"/>
          <w:tab w:val="right" w:pos="9923" w:leader="none"/>
        </w:tabs>
        <w:rPr/>
      </w:pPr>
      <w:r>
        <w:rPr/>
        <w:t>Tato norma obsahuje 3 normativní a 3 informativní přílohy</w:t>
      </w:r>
    </w:p>
    <w:p>
      <w:pPr>
        <w:pStyle w:val="Normal"/>
        <w:numPr>
          <w:ilvl w:val="0"/>
          <w:numId w:val="3"/>
        </w:numPr>
        <w:rPr/>
      </w:pPr>
      <w:r>
        <w:rPr/>
        <w:t>Příloha A (normativní)</w:t>
      </w:r>
      <w:r>
        <w:rPr/>
      </w:r>
      <w:r>
        <w:rPr/>
      </w:r>
      <w:r>
        <w:rPr/>
      </w:r>
      <w:r>
        <w:rPr/>
        <w:t xml:space="preserve"> Datová specifikace</w:t>
      </w:r>
    </w:p>
    <w:p>
      <w:pPr>
        <w:pStyle w:val="Normal"/>
        <w:numPr>
          <w:ilvl w:val="0"/>
          <w:numId w:val="3"/>
        </w:numPr>
        <w:rPr/>
      </w:pPr>
      <w:r>
        <w:rPr>
          <w:rFonts w:eastAsia="Lucida Sans Unicode"/>
        </w:rPr>
        <w:t xml:space="preserve">Příloha B (normativní) </w:t>
      </w:r>
      <w:r>
        <w:rPr/>
      </w:r>
      <w:r>
        <w:rPr/>
      </w:r>
      <w:r>
        <w:rPr/>
      </w:r>
      <w:r>
        <w:rPr/>
        <w:t>Formulář ICS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Příloha C (normativní) </w:t>
      </w:r>
      <w:r>
        <w:rPr/>
      </w:r>
      <w:r>
        <w:rPr/>
      </w:r>
      <w:r>
        <w:rPr/>
      </w:r>
      <w:r>
        <w:rPr/>
        <w:t>Taxonomie IAP a číslování AVI/AEI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Příloha D (informativní) </w:t>
      </w:r>
      <w:r>
        <w:rPr/>
      </w:r>
      <w:r>
        <w:rPr/>
      </w:r>
      <w:r>
        <w:rPr/>
      </w:r>
      <w:r>
        <w:rPr/>
        <w:t>Příklady výpočtu zabezpečení</w:t>
      </w:r>
    </w:p>
    <w:p>
      <w:pPr>
        <w:pStyle w:val="Normal"/>
        <w:numPr>
          <w:ilvl w:val="0"/>
          <w:numId w:val="3"/>
        </w:numPr>
        <w:rPr/>
      </w:pPr>
      <w:r>
        <w:rPr/>
        <w:t>Příloha E (informativní) Opatření pro zabezpečení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Příloha F (informativní) </w:t>
      </w:r>
      <w:r>
        <w:rPr/>
      </w:r>
      <w:r>
        <w:rPr/>
      </w:r>
      <w:r>
        <w:rPr/>
      </w:r>
      <w:r>
        <w:rPr/>
        <w:t>Použití této evropské normy pro jiné transakce, založené na DSRC</w:t>
      </w:r>
    </w:p>
    <w:p>
      <w:pPr>
        <w:pStyle w:val="Textnormy"/>
        <w:tabs>
          <w:tab w:val="clear" w:pos="708"/>
          <w:tab w:val="right" w:pos="9923" w:leader="none"/>
        </w:tabs>
        <w:rPr/>
      </w:pPr>
      <w:r>
        <w:rPr/>
      </w:r>
    </w:p>
    <w:p>
      <w:pPr>
        <w:pStyle w:val="Textnormy"/>
        <w:tabs>
          <w:tab w:val="clear" w:pos="708"/>
          <w:tab w:val="right" w:pos="9923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Příloha A (normativní)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  <w:t xml:space="preserve"> Datová specifikace</w:t>
      </w:r>
    </w:p>
    <w:p>
      <w:pPr>
        <w:pStyle w:val="Textnormy"/>
        <w:rPr/>
      </w:pPr>
      <w:r>
        <w:rPr/>
        <w:t xml:space="preserve">Specifikace a použití datových prvků je stanovena v normách EN ISO 17264:2009, EN ISO 14816 a  EN </w:t>
      </w:r>
      <w:r>
        <w:rPr>
          <w:rFonts w:cs="Arial"/>
        </w:rPr>
        <w:t>12834</w:t>
      </w:r>
      <w:r>
        <w:rPr/>
        <w:t>. Tato příloha obsahuje atributy ERI a požadavky na data ERI související se zabezpečením:</w:t>
      </w:r>
    </w:p>
    <w:p>
      <w:pPr>
        <w:pStyle w:val="Textnormy"/>
        <w:numPr>
          <w:ilvl w:val="0"/>
          <w:numId w:val="11"/>
        </w:numPr>
        <w:rPr/>
      </w:pPr>
      <w:r>
        <w:rPr>
          <w:b/>
        </w:rPr>
        <w:t>které omezují</w:t>
      </w:r>
      <w:r>
        <w:rPr/>
        <w:t xml:space="preserve"> možnost volby (implementace) nebo jsou </w:t>
      </w:r>
    </w:p>
    <w:p>
      <w:pPr>
        <w:pStyle w:val="Textnormy"/>
        <w:numPr>
          <w:ilvl w:val="0"/>
          <w:numId w:val="11"/>
        </w:numPr>
        <w:rPr/>
      </w:pPr>
      <w:r>
        <w:rPr>
          <w:b/>
        </w:rPr>
        <w:t>konkrétnější</w:t>
      </w:r>
      <w:r>
        <w:rPr/>
        <w:t xml:space="preserve"> a tedy více omezené ve svém předmětu, než jsou ty v základních normách. </w:t>
      </w:r>
    </w:p>
    <w:p>
      <w:pPr>
        <w:pStyle w:val="Textnormy"/>
        <w:ind w:start="54" w:end="0"/>
        <w:rPr/>
      </w:pPr>
      <w:r>
        <w:rPr/>
        <w:t>Atributy a požadavky na datové prvky jsou zde uvedeny ve formě tabulek. Důležité je i to že jsou zde k atributům stanoveno použití.</w:t>
      </w:r>
    </w:p>
    <w:p>
      <w:pPr>
        <w:pStyle w:val="NadpisTabObr"/>
        <w:rPr/>
      </w:pPr>
      <w:r>
        <w:rPr/>
        <w:t xml:space="preserve">Tabulka </w:t>
      </w:r>
      <w:r>
        <w:rPr/>
        <w:fldChar w:fldCharType="begin"/>
      </w:r>
      <w:r>
        <w:rPr/>
        <w:instrText xml:space="preserve"> SEQ Tabulka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Ukázka tabulky s požadovanými atributy ERI, společně s jejich konkretizací (viz Tabulky A.1 normy)</w:t>
      </w:r>
    </w:p>
    <w:p>
      <w:pPr>
        <w:pStyle w:val="Ilustrace"/>
        <w:rPr/>
      </w:pPr>
      <w:r>
        <w:rPr>
          <w:lang w:val="en-US" w:eastAsia="en-US"/>
        </w:rPr>
        <w:drawing>
          <wp:inline distT="0" distB="0" distL="0" distR="0">
            <wp:extent cx="5969635" cy="1639570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" t="-14" r="-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163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tabs>
          <w:tab w:val="clear" w:pos="708"/>
          <w:tab w:val="right" w:pos="9923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tabs>
          <w:tab w:val="clear" w:pos="708"/>
          <w:tab w:val="right" w:pos="9923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B (normativní) 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  <w:t>Formulář ICS</w:t>
      </w:r>
    </w:p>
    <w:p>
      <w:pPr>
        <w:pStyle w:val="Textnormy"/>
        <w:rPr/>
      </w:pPr>
      <w:r>
        <w:rPr/>
        <w:t xml:space="preserve">Tato příloha uvádí šablony formuláře ICS (prohlášení o shodě s implementací) jež vyplňují dodavatelé zařízení. </w:t>
      </w:r>
    </w:p>
    <w:p>
      <w:pPr>
        <w:pStyle w:val="Textnormy"/>
        <w:rPr/>
      </w:pPr>
      <w:r>
        <w:rPr/>
        <w:t xml:space="preserve">Konkrétní formulář ICS, tak jak bude vyplněn dodavatelem, </w:t>
      </w:r>
      <w:r>
        <w:rPr>
          <w:b/>
        </w:rPr>
        <w:t>musí být technicky</w:t>
      </w:r>
      <w:r>
        <w:rPr/>
        <w:t xml:space="preserve"> ekvivalentní s textem formuláře ICS uvedeným v této příloze. Musí zachovat číslování, názvy a pořadí položek formulářů. </w:t>
      </w:r>
    </w:p>
    <w:p>
      <w:pPr>
        <w:pStyle w:val="Textnormy"/>
        <w:rPr/>
      </w:pPr>
      <w:r>
        <w:rPr/>
        <w:t xml:space="preserve">Dále tato příloha uvádí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B.2 Návod na vyplnění formuláře ICS </w:t>
        <w:br/>
        <w:t>podrobný návod krok za krokem jak vyplnit formulář (jak je formulář organizován) s jakými daty a jakými zkratkami.</w:t>
      </w:r>
    </w:p>
    <w:p>
      <w:pPr>
        <w:pStyle w:val="Normal"/>
        <w:numPr>
          <w:ilvl w:val="0"/>
          <w:numId w:val="5"/>
        </w:numPr>
        <w:rPr/>
      </w:pPr>
      <w:r>
        <w:rPr/>
        <w:t>B.3 Pokyny pro dokončení vyplnění formuláře ICS</w:t>
        <w:br/>
        <w:t>stručné shrnutí co navíc musí ICS ještě obsahovat</w:t>
      </w:r>
    </w:p>
    <w:p>
      <w:pPr>
        <w:pStyle w:val="Normal"/>
        <w:numPr>
          <w:ilvl w:val="0"/>
          <w:numId w:val="5"/>
        </w:numPr>
        <w:rPr/>
      </w:pPr>
      <w:r>
        <w:rPr/>
        <w:t>B.4 ICS formulář pro ERT</w:t>
        <w:br/>
        <w:t xml:space="preserve">vlastní formulář ICS skládající se z tabulek pro vyplnění </w:t>
      </w:r>
    </w:p>
    <w:p>
      <w:pPr>
        <w:pStyle w:val="Normal"/>
        <w:numPr>
          <w:ilvl w:val="0"/>
          <w:numId w:val="5"/>
        </w:numPr>
        <w:rPr/>
      </w:pPr>
      <w:r>
        <w:rPr/>
        <w:t>B.5 Formulář ICS pro ERR</w:t>
        <w:br/>
        <w:t>vlastní formulář ICS skládající se z tabulek pro vyplnění</w:t>
      </w:r>
    </w:p>
    <w:p>
      <w:pPr>
        <w:pStyle w:val="Textnormy"/>
        <w:tabs>
          <w:tab w:val="clear" w:pos="708"/>
          <w:tab w:val="right" w:pos="9923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tabs>
          <w:tab w:val="clear" w:pos="708"/>
          <w:tab w:val="right" w:pos="9923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C (normativní) 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  <w:t>Taxonomie IAP a číslování AVI/AEI</w:t>
      </w:r>
    </w:p>
    <w:p>
      <w:pPr>
        <w:pStyle w:val="Textnormy"/>
        <w:rPr/>
      </w:pPr>
      <w:r>
        <w:rPr/>
        <w:t xml:space="preserve">Tato příloha uvádí základní taxonomii IAP a číslování AVI/AEI a může být použita pro odkazování (reference), například při stanovení shody s touto evropskou normou nebo při přípravě budoucích vydání této evropské normy nebo norem IAP. </w:t>
      </w:r>
    </w:p>
    <w:p>
      <w:pPr>
        <w:pStyle w:val="Textnormy"/>
        <w:rPr/>
      </w:pPr>
      <w:r>
        <w:rPr/>
        <w:t xml:space="preserve">Jsou zde uvedeny zásady tvorby IAP pro případ následných vydání nebo jiných norem. Předmět IAP je definován v kapitole 1. IAP je ucelenou sadou </w:t>
      </w:r>
      <w:r>
        <w:rPr>
          <w:b/>
        </w:rPr>
        <w:t>voleb</w:t>
      </w:r>
      <w:r>
        <w:rPr/>
        <w:t xml:space="preserve"> a </w:t>
      </w:r>
      <w:r>
        <w:rPr>
          <w:b/>
        </w:rPr>
        <w:t>hodnot parametrů</w:t>
      </w:r>
      <w:r>
        <w:rPr/>
        <w:t xml:space="preserve"> vybraných z těchto základních norem:</w:t>
      </w:r>
    </w:p>
    <w:p>
      <w:pPr>
        <w:pStyle w:val="Textnormy"/>
        <w:numPr>
          <w:ilvl w:val="0"/>
          <w:numId w:val="13"/>
        </w:numPr>
        <w:rPr/>
      </w:pPr>
      <w:r>
        <w:rPr/>
        <w:t>EN ISO 14906:2011 – Definice aplikačního rozhraní EFC pro DSRC (to zahrnuje nepřímý odkaz na EN ISO 14816 – Číslování a datové struktury);</w:t>
      </w:r>
    </w:p>
    <w:p>
      <w:pPr>
        <w:pStyle w:val="Textnormy"/>
        <w:numPr>
          <w:ilvl w:val="0"/>
          <w:numId w:val="13"/>
        </w:numPr>
        <w:rPr/>
      </w:pPr>
      <w:r>
        <w:rPr/>
        <w:t>EN 12834 – DSRC aplikační vrstva (L7);</w:t>
      </w:r>
    </w:p>
    <w:p>
      <w:pPr>
        <w:pStyle w:val="Textnormy"/>
        <w:numPr>
          <w:ilvl w:val="0"/>
          <w:numId w:val="13"/>
        </w:numPr>
        <w:rPr/>
      </w:pPr>
      <w:r>
        <w:rPr/>
        <w:t>EN 13372 – DSRC Profily (to zahrnuje nepřímý odkaz na normy DSRC L1, L2 a L7: EN 12253, EN 12795 a EN 12834).</w:t>
      </w:r>
    </w:p>
    <w:p>
      <w:pPr>
        <w:pStyle w:val="Textnormy"/>
        <w:rPr>
          <w:b/>
        </w:rPr>
      </w:pPr>
      <w:r>
        <w:rPr>
          <w:b/>
        </w:rPr>
        <w:t xml:space="preserve">C.3.3 Příklady číslování a odkazování </w:t>
      </w:r>
    </w:p>
    <w:p>
      <w:pPr>
        <w:pStyle w:val="Textnormy"/>
        <w:rPr/>
      </w:pPr>
      <w:r>
        <w:rPr/>
        <w:t>PŘÍKLAD 1 ERR ve shodě podle EN XXXXX, bez podpory počítadla relací „SessionCounter“ je označeno: „ERR ve shodě s XXXXX IAP 1.0 úroveň 0“ (analogicky, s podporou počítadla relací SessionCounter, je uváděno jako úroveň 1).</w:t>
      </w:r>
    </w:p>
    <w:p>
      <w:pPr>
        <w:pStyle w:val="Textnormy"/>
        <w:tabs>
          <w:tab w:val="clear" w:pos="708"/>
          <w:tab w:val="right" w:pos="9923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tabs>
          <w:tab w:val="clear" w:pos="708"/>
          <w:tab w:val="right" w:pos="9923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D (informativní) 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  <w:t>Příklady výpočtu zabezpečení</w:t>
      </w:r>
    </w:p>
    <w:p>
      <w:pPr>
        <w:pStyle w:val="Textnormy"/>
        <w:rPr/>
      </w:pPr>
      <w:r>
        <w:rPr/>
        <w:t>Tato příloha ilustruje kryptografické mechanismy popsané v kapitole 5 pomocí několika výpočetních příkladů:</w:t>
      </w:r>
    </w:p>
    <w:p>
      <w:pPr>
        <w:pStyle w:val="Textnormy"/>
        <w:numPr>
          <w:ilvl w:val="0"/>
          <w:numId w:val="12"/>
        </w:numPr>
        <w:rPr/>
      </w:pPr>
      <w:r>
        <w:rPr/>
        <w:t>výpočet autentikátoru atributu,</w:t>
      </w:r>
    </w:p>
    <w:p>
      <w:pPr>
        <w:pStyle w:val="Textnormy"/>
        <w:numPr>
          <w:ilvl w:val="0"/>
          <w:numId w:val="12"/>
        </w:numPr>
        <w:rPr/>
      </w:pPr>
      <w:r>
        <w:rPr/>
        <w:t>výpočet pověření k přístupu a</w:t>
      </w:r>
    </w:p>
    <w:p>
      <w:pPr>
        <w:pStyle w:val="Textnormy"/>
        <w:numPr>
          <w:ilvl w:val="0"/>
          <w:numId w:val="12"/>
        </w:numPr>
        <w:rPr/>
      </w:pPr>
      <w:r>
        <w:rPr/>
        <w:t xml:space="preserve">odvození klíče. </w:t>
      </w:r>
    </w:p>
    <w:p>
      <w:pPr>
        <w:pStyle w:val="Textnormy"/>
        <w:rPr/>
      </w:pPr>
      <w:r>
        <w:rPr/>
      </w:r>
    </w:p>
    <w:p>
      <w:pPr>
        <w:pStyle w:val="Textnormy"/>
        <w:tabs>
          <w:tab w:val="clear" w:pos="708"/>
          <w:tab w:val="right" w:pos="9923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Příloha E (informativní) Opatření pro zabezpečení</w:t>
      </w:r>
    </w:p>
    <w:p>
      <w:pPr>
        <w:pStyle w:val="Textnormy"/>
        <w:rPr/>
      </w:pPr>
      <w:r>
        <w:rPr/>
        <w:t>Tato příloha uvádí pozadí a důvody pro znaky zabezpečení uvedené v této evropské normě. Témata zabezpečení jsou zde analyzována s ohledem na:</w:t>
      </w:r>
    </w:p>
    <w:p>
      <w:pPr>
        <w:pStyle w:val="Seznamvnorm"/>
        <w:numPr>
          <w:ilvl w:val="0"/>
          <w:numId w:val="8"/>
        </w:numPr>
        <w:rPr/>
      </w:pPr>
      <w:r>
        <w:rPr/>
        <w:t>integritu dat s ohledem na data uložená v ERT;</w:t>
      </w:r>
    </w:p>
    <w:p>
      <w:pPr>
        <w:pStyle w:val="Seznamvnorm"/>
        <w:numPr>
          <w:ilvl w:val="0"/>
          <w:numId w:val="8"/>
        </w:numPr>
        <w:rPr/>
      </w:pPr>
      <w:r>
        <w:rPr/>
        <w:t>autentizaci původu dat s ohledem na citlivá data ve všech přenášených datech zpoplatnění;</w:t>
      </w:r>
    </w:p>
    <w:p>
      <w:pPr>
        <w:pStyle w:val="Seznamvnorm"/>
        <w:numPr>
          <w:ilvl w:val="0"/>
          <w:numId w:val="8"/>
        </w:numPr>
        <w:rPr/>
      </w:pPr>
      <w:r>
        <w:rPr/>
        <w:t>ochrana přístupu k datům s ohledem na data uložená v ERT.</w:t>
      </w:r>
    </w:p>
    <w:p>
      <w:pPr>
        <w:pStyle w:val="Textnormy"/>
        <w:tabs>
          <w:tab w:val="clear" w:pos="708"/>
          <w:tab w:val="right" w:pos="9923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tabs>
          <w:tab w:val="clear" w:pos="708"/>
          <w:tab w:val="right" w:pos="9923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F (informativní) 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  <w:t>Použití této evropské normy pro jiné transakce, založené na DSRC</w:t>
      </w:r>
    </w:p>
    <w:p>
      <w:pPr>
        <w:pStyle w:val="Textnormy"/>
        <w:rPr/>
      </w:pPr>
      <w:r>
        <w:rPr/>
        <w:t>Tato evropská norma stanoví aplikační profil pro interoperabilní ERI transakce, ale nestanoví, pro které účely lze tyto transakce použít. Tato příloha uvádí informace, jak lze datové atributy a transakce použít pro specifické účely. Např.:</w:t>
      </w:r>
    </w:p>
    <w:p>
      <w:pPr>
        <w:pStyle w:val="Textnormy"/>
        <w:numPr>
          <w:ilvl w:val="0"/>
          <w:numId w:val="7"/>
        </w:numPr>
        <w:rPr/>
      </w:pPr>
      <w:r>
        <w:rPr/>
        <w:t xml:space="preserve">CS2 lze použít pro identifikaci ERT, které jsou na černé listině. </w:t>
      </w:r>
    </w:p>
    <w:p>
      <w:pPr>
        <w:pStyle w:val="Textnormy"/>
        <w:numPr>
          <w:ilvl w:val="0"/>
          <w:numId w:val="7"/>
        </w:numPr>
        <w:rPr/>
      </w:pPr>
      <w:r>
        <w:rPr/>
        <w:t>CS3 lze použít pro omezení platnosti ERT.</w:t>
      </w:r>
    </w:p>
    <w:p>
      <w:pPr>
        <w:pStyle w:val="Textnormy"/>
        <w:numPr>
          <w:ilvl w:val="0"/>
          <w:numId w:val="7"/>
        </w:numPr>
        <w:rPr/>
      </w:pPr>
      <w:r>
        <w:rPr/>
        <w:t>CS4 lze použít pro identifikaci vozidla</w:t>
      </w:r>
    </w:p>
    <w:p>
      <w:pPr>
        <w:pStyle w:val="Textnormy"/>
        <w:spacing w:before="0" w:after="120"/>
        <w:rPr/>
      </w:pPr>
      <w:r>
        <w:rPr/>
      </w:r>
    </w:p>
    <w:sectPr>
      <w:footerReference w:type="default" r:id="rId5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Cambria">
    <w:charset w:val="ee" w:characterSet="windows-125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4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5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–"/>
      <w:lvlJc w:val="start"/>
      <w:pPr>
        <w:tabs>
          <w:tab w:val="num" w:pos="360"/>
        </w:tabs>
        <w:ind w:start="283" w:hanging="283"/>
      </w:pPr>
      <w:rPr>
        <w:rFonts w:ascii="Arial" w:hAnsi="Arial" w:cs="Aria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283"/>
        </w:tabs>
        <w:ind w:start="283" w:hanging="283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74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2z0">
    <w:name w:val="WW8Num2z0"/>
    <w:qFormat/>
    <w:rPr>
      <w:rFonts w:ascii="Wingdings" w:hAnsi="Wingdings" w:cs="StarSymbol;Arial Unicode MS"/>
      <w:sz w:val="18"/>
      <w:szCs w:val="18"/>
    </w:rPr>
  </w:style>
  <w:style w:type="character" w:styleId="WW8Num2z1">
    <w:name w:val="WW8Num2z1"/>
    <w:qFormat/>
    <w:rPr>
      <w:rFonts w:ascii="Wingdings 2" w:hAnsi="Wingdings 2" w:cs="StarSymbol;Arial Unicode MS"/>
      <w:sz w:val="18"/>
      <w:szCs w:val="18"/>
    </w:rPr>
  </w:style>
  <w:style w:type="character" w:styleId="WW8Num2z2">
    <w:name w:val="WW8Num2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3z0">
    <w:name w:val="WW8Num3z0"/>
    <w:qFormat/>
    <w:rPr>
      <w:rFonts w:ascii="Wingdings" w:hAnsi="Wingdings" w:cs="StarSymbol;Arial Unicode MS"/>
      <w:sz w:val="18"/>
      <w:szCs w:val="18"/>
    </w:rPr>
  </w:style>
  <w:style w:type="character" w:styleId="WW8Num3z1">
    <w:name w:val="WW8Num3z1"/>
    <w:qFormat/>
    <w:rPr>
      <w:rFonts w:ascii="Wingdings 2" w:hAnsi="Wingdings 2" w:cs="StarSymbol;Arial Unicode MS"/>
      <w:sz w:val="18"/>
      <w:szCs w:val="18"/>
    </w:rPr>
  </w:style>
  <w:style w:type="character" w:styleId="WW8Num3z2">
    <w:name w:val="WW8Num3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Arial" w:hAnsi="Arial" w:cs="Arial"/>
    </w:rPr>
  </w:style>
  <w:style w:type="character" w:styleId="WW8Num6z0">
    <w:name w:val="WW8Num6z0"/>
    <w:qFormat/>
    <w:rPr>
      <w:rFonts w:ascii="Symbol" w:hAnsi="Symbol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Arial" w:hAnsi="Arial" w:eastAsia="Times New Roman" w:cs="Aria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eastAsia="Times New Roman" w:cs="Times New Roman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21z0">
    <w:name w:val="WW8Num21z0"/>
    <w:qFormat/>
    <w:rPr>
      <w:rFonts w:ascii="Wingdings" w:hAnsi="Wingdings" w:cs="StarSymbol;Arial Unicode MS"/>
      <w:sz w:val="18"/>
      <w:szCs w:val="18"/>
    </w:rPr>
  </w:style>
  <w:style w:type="character" w:styleId="WW8Num21z1">
    <w:name w:val="WW8Num21z1"/>
    <w:qFormat/>
    <w:rPr>
      <w:rFonts w:ascii="Wingdings 2" w:hAnsi="Wingdings 2" w:cs="StarSymbol;Arial Unicode MS"/>
      <w:sz w:val="18"/>
      <w:szCs w:val="18"/>
    </w:rPr>
  </w:style>
  <w:style w:type="character" w:styleId="WW8Num21z2">
    <w:name w:val="WW8Num21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22z0">
    <w:name w:val="WW8Num22z0"/>
    <w:qFormat/>
    <w:rPr>
      <w:rFonts w:ascii="Arial" w:hAnsi="Arial" w:cs="Arial"/>
      <w:sz w:val="18"/>
      <w:szCs w:val="18"/>
    </w:rPr>
  </w:style>
  <w:style w:type="character" w:styleId="WW8Num22z1">
    <w:name w:val="WW8Num22z1"/>
    <w:qFormat/>
    <w:rPr>
      <w:rFonts w:ascii="Wingdings 2" w:hAnsi="Wingdings 2" w:cs="StarSymbol;Arial Unicode MS"/>
      <w:sz w:val="18"/>
      <w:szCs w:val="18"/>
    </w:rPr>
  </w:style>
  <w:style w:type="character" w:styleId="WW8Num22z2">
    <w:name w:val="WW8Num22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22z3">
    <w:name w:val="WW8Num22z3"/>
    <w:qFormat/>
    <w:rPr>
      <w:rFonts w:ascii="Wingdings" w:hAnsi="Wingdings" w:cs="StarSymbol;Arial Unicode MS"/>
      <w:sz w:val="18"/>
      <w:szCs w:val="18"/>
    </w:rPr>
  </w:style>
  <w:style w:type="character" w:styleId="WW8Num23z0">
    <w:name w:val="WW8Num23z0"/>
    <w:qFormat/>
    <w:rPr>
      <w:rFonts w:ascii="Arial" w:hAnsi="Arial" w:eastAsia="Times New Roman" w:cs="Aria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Arial" w:hAnsi="Arial" w:cs="Arial"/>
      <w:sz w:val="18"/>
      <w:szCs w:val="18"/>
    </w:rPr>
  </w:style>
  <w:style w:type="character" w:styleId="WW8Num26z1">
    <w:name w:val="WW8Num26z1"/>
    <w:qFormat/>
    <w:rPr>
      <w:rFonts w:ascii="Wingdings 2" w:hAnsi="Wingdings 2" w:cs="StarSymbol;Arial Unicode MS"/>
      <w:sz w:val="18"/>
      <w:szCs w:val="18"/>
    </w:rPr>
  </w:style>
  <w:style w:type="character" w:styleId="WW8Num26z2">
    <w:name w:val="WW8Num26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26z3">
    <w:name w:val="WW8Num26z3"/>
    <w:qFormat/>
    <w:rPr>
      <w:rFonts w:ascii="Wingdings" w:hAnsi="Wingdings" w:cs="StarSymbol;Arial Unicode MS"/>
      <w:sz w:val="18"/>
      <w:szCs w:val="18"/>
    </w:rPr>
  </w:style>
  <w:style w:type="character" w:styleId="WW8Num27z0">
    <w:name w:val="WW8Num27z0"/>
    <w:qFormat/>
    <w:rPr>
      <w:rFonts w:ascii="Arial" w:hAnsi="Arial" w:eastAsia="Times New Roman" w:cs="Aria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Odkaznakoment">
    <w:name w:val="Odkaz na komentář"/>
    <w:qFormat/>
    <w:rPr>
      <w:sz w:val="16"/>
      <w:szCs w:val="16"/>
    </w:rPr>
  </w:style>
  <w:style w:type="character" w:styleId="Nadpis2Char">
    <w:name w:val="Nadpis 2 Char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TextkomenteChar">
    <w:name w:val="Text komentáře Char"/>
    <w:qFormat/>
    <w:rPr>
      <w:rFonts w:ascii="Arial" w:hAnsi="Arial" w:cs="Arial"/>
    </w:rPr>
  </w:style>
  <w:style w:type="character" w:styleId="NadpislnkuChar">
    <w:name w:val="Nadpis článku Char"/>
    <w:qFormat/>
    <w:rPr>
      <w:rFonts w:ascii="Arial" w:hAnsi="Arial" w:cs="Arial"/>
      <w:b/>
    </w:rPr>
  </w:style>
  <w:style w:type="character" w:styleId="Nadpis1Char">
    <w:name w:val="Nadpis 1 Char"/>
    <w:qFormat/>
    <w:rPr>
      <w:rFonts w:ascii="Arial" w:hAnsi="Arial" w:eastAsia="Lucida Sans Unicode" w:cs="Tahoma"/>
      <w:b/>
      <w:bCs/>
      <w:kern w:val="2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komente">
    <w:name w:val="Text komentáře"/>
    <w:basedOn w:val="Normal"/>
    <w:qFormat/>
    <w:pPr/>
    <w:rPr/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Seznamvnorm">
    <w:name w:val="Seznam v normě"/>
    <w:basedOn w:val="Textnormy"/>
    <w:qFormat/>
    <w:pPr>
      <w:numPr>
        <w:ilvl w:val="0"/>
        <w:numId w:val="2"/>
      </w:numPr>
    </w:pPr>
    <w:rPr/>
  </w:style>
  <w:style w:type="paragraph" w:styleId="Poznmka">
    <w:name w:val="Poznámka"/>
    <w:basedOn w:val="Textnormy"/>
    <w:next w:val="Textnormy"/>
    <w:qFormat/>
    <w:pPr>
      <w:spacing w:before="80" w:after="200"/>
    </w:pPr>
    <w:rPr>
      <w:sz w:val="18"/>
    </w:rPr>
  </w:style>
  <w:style w:type="paragraph" w:styleId="slovanseznam">
    <w:name w:val="Číslovaný seznam"/>
    <w:basedOn w:val="Textnormy"/>
    <w:qFormat/>
    <w:pPr>
      <w:numPr>
        <w:ilvl w:val="0"/>
        <w:numId w:val="10"/>
      </w:numPr>
      <w:ind w:hanging="284" w:start="284" w:end="0"/>
    </w:pPr>
    <w:rPr/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Nadpiskapitoly">
    <w:name w:val="Nadpis kapitoly"/>
    <w:basedOn w:val="Nadpislnku"/>
    <w:next w:val="Textnormy"/>
    <w:qFormat/>
    <w:pPr>
      <w:spacing w:before="240" w:after="180"/>
    </w:pPr>
    <w:rPr>
      <w:sz w:val="24"/>
      <w:lang w:val="en-US"/>
    </w:rPr>
  </w:style>
  <w:style w:type="paragraph" w:styleId="Titulek">
    <w:name w:val="Titulek"/>
    <w:basedOn w:val="Normal"/>
    <w:next w:val="Normal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2014-01-26T18:23:00Z</dcterms:created>
  <dc:creator>David Bárta</dc:creator>
  <dc:description/>
  <cp:keywords/>
  <dc:language>en-US</dc:language>
  <cp:lastModifiedBy>bures</cp:lastModifiedBy>
  <cp:lastPrinted>2013-06-05T12:26:00Z</cp:lastPrinted>
  <dcterms:modified xsi:type="dcterms:W3CDTF">2014-02-17T10:30:00Z</dcterms:modified>
  <cp:revision>9</cp:revision>
  <dc:subject/>
  <dc:title>ČESKÁ TECHNICKÁ NORMA</dc:title>
</cp:coreProperties>
</file>