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a14a5aacb38a8ead410bbea129e34792eeea21"/>
    <w:p>
      <w:pPr>
        <w:pStyle w:val="Heading1"/>
      </w:pPr>
      <w:r>
        <w:t xml:space="preserve">Příloha E: Ustálené překlady telematických termínů</w:t>
      </w:r>
    </w:p>
    <w:p>
      <w:pPr>
        <w:pStyle w:val="Compact"/>
        <w:numPr>
          <w:ilvl w:val="0"/>
          <w:numId w:val="1001"/>
        </w:numPr>
      </w:pPr>
      <w:r>
        <w:t xml:space="preserve">Status: tento dokument obsahuje jediný nalezený termín, který byl předmětem rozhodnutí o jednotném překladu. Formální úpravu tohoto dokumentu je nutno dotvořit (např. ujasnit, zda se mají uvádět i zapovězené překlady apt.)</w:t>
      </w:r>
    </w:p>
    <w:p>
      <w:pPr>
        <w:pStyle w:val="Compact"/>
        <w:numPr>
          <w:ilvl w:val="0"/>
          <w:numId w:val="1001"/>
        </w:numPr>
      </w:pPr>
      <w:r>
        <w:t xml:space="preserve">Zpracoval: Jan Vlčinský</w:t>
      </w:r>
    </w:p>
    <w:p>
      <w:pPr>
        <w:pStyle w:val="Compact"/>
        <w:numPr>
          <w:ilvl w:val="0"/>
          <w:numId w:val="1001"/>
        </w:numPr>
      </w:pPr>
      <w:r>
        <w:t xml:space="preserve">Vydáno: 2025-02-18</w:t>
      </w:r>
    </w:p>
    <w:p>
      <w:pPr>
        <w:pStyle w:val="Compact"/>
        <w:numPr>
          <w:ilvl w:val="0"/>
          <w:numId w:val="1001"/>
        </w:numPr>
      </w:pPr>
      <w:r>
        <w:t xml:space="preserve">Verze: v0.1</w:t>
      </w:r>
    </w:p>
    <w:p>
      <w:pPr>
        <w:pStyle w:val="FirstParagraph"/>
      </w:pPr>
      <w:r>
        <w:t xml:space="preserve">Tato příloha identifikuje konkrétní telematické termíny a zkratky, které se v praxi překládají různými způsoby a u kterých vznikla dohoda o jednotném užívání českého překladu.</w:t>
      </w:r>
    </w:p>
    <w:p>
      <w:pPr>
        <w:pStyle w:val="BodyText"/>
      </w:pPr>
      <w:r>
        <w:t xml:space="preserve">Tento seznam nenahrazuje terminologický slovník a nemá být ani extrémně dlouhý, má pokrýt jen ty termíny, které jsou často užívány, jsou důležité a je zapotřebí sjednotit překlad.</w:t>
      </w:r>
    </w:p>
    <w:bookmarkStart w:id="20" w:name="X90bb2a41789f92d2bbfc1a50b16125ec7f8faa3"/>
    <w:p>
      <w:pPr>
        <w:pStyle w:val="Heading2"/>
      </w:pPr>
      <w:r>
        <w:t xml:space="preserve">RSE (roadside unit) - zařízení na infrastruktuře</w:t>
      </w:r>
    </w:p>
    <w:p>
      <w:pPr>
        <w:pStyle w:val="FirstParagraph"/>
      </w:pPr>
      <w:r>
        <w:t xml:space="preserve">Zdroj: zápis z připomínkování číslo TNK136/1731</w:t>
      </w:r>
    </w:p>
    <w:p>
      <w:pPr>
        <w:pStyle w:val="BodyText"/>
      </w:pPr>
      <w:r>
        <w:t xml:space="preserve">RSE, dosud překládané jako „zařízení na straně infrastruktury“, bude pro přiblížení se v praxi užívané terminologii nazýváno „zařízení na infrastruktuře“.</w:t>
      </w:r>
    </w:p>
    <w:p>
      <w:pPr>
        <w:pStyle w:val="BodyText"/>
      </w:pPr>
      <w:r>
        <w:t xml:space="preserve">Závěr 4: RSE (roadside unit) se bude překládat „zařízení na infrastruktuře“.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2025-02-18T14:22:44Z</dcterms:created>
  <dcterms:modified xsi:type="dcterms:W3CDTF">2025-02-18T14:22:44Z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