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widowControl w:val="0"/>
        <w:tabs>
          <w:tab w:val="left" w:leader="none" w:pos="7371"/>
          <w:tab w:val="right" w:leader="none" w:pos="9866"/>
          <w:tab w:val="left" w:leader="none" w:pos="7080"/>
          <w:tab w:val="right" w:leader="none" w:pos="9923"/>
        </w:tabs>
        <w:spacing w:after="60" w:line="240" w:lineRule="auto"/>
        <w:jc w:val="center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EXTRAKT z mezinárodní normy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after="120" w:line="240" w:lineRule="auto"/>
        <w:jc w:val="both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Extrakt nenahrazuje samotnou technickou normu, je pouze informativním materiálem o normě.</w:t>
      </w: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Ind w:w="-115.0" w:type="dxa"/>
        <w:tblBorders>
          <w:top w:color="000000" w:space="0" w:sz="12" w:val="single"/>
          <w:left w:color="000000" w:space="0" w:sz="0" w:val="nil"/>
          <w:bottom w:color="000000" w:space="0" w:sz="12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7371"/>
        <w:gridCol w:w="2552"/>
        <w:tblGridChange w:id="0">
          <w:tblGrid>
            <w:gridCol w:w="7371"/>
            <w:gridCol w:w="2552"/>
          </w:tblGrid>
        </w:tblGridChange>
      </w:tblGrid>
      <w:tr>
        <w:trPr>
          <w:cantSplit w:val="0"/>
          <w:trHeight w:val="17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3">
            <w:pPr>
              <w:pageBreakBefore w:val="0"/>
              <w:spacing w:after="0" w:before="180" w:line="240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Inteligentní dopravní systémy – XXXBBB – Část X: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spacing w:after="0" w:before="18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ISO/CEN </w:t>
              <w:br w:type="textWrapping"/>
              <w:t xml:space="preserve">7777-1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ageBreakBefore w:val="0"/>
              <w:spacing w:after="80" w:before="8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01 8200</w:t>
            </w:r>
          </w:p>
        </w:tc>
      </w:tr>
    </w:tbl>
    <w:p w:rsidR="00000000" w:rsidDel="00000000" w:rsidP="00000000" w:rsidRDefault="00000000" w:rsidRPr="00000000" w14:paraId="00000006">
      <w:pPr>
        <w:keepNext w:val="1"/>
        <w:keepLines w:val="1"/>
        <w:pageBreakBefore w:val="0"/>
        <w:tabs>
          <w:tab w:val="right" w:leader="none" w:pos="9923"/>
        </w:tabs>
        <w:spacing w:after="360" w:before="24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ab/>
        <w:t xml:space="preserve">Vydána 2021, 876 stran</w:t>
      </w:r>
    </w:p>
    <w:p w:rsidR="00000000" w:rsidDel="00000000" w:rsidP="00000000" w:rsidRDefault="00000000" w:rsidRPr="00000000" w14:paraId="00000007">
      <w:pPr>
        <w:pageBreakBefore w:val="0"/>
        <w:spacing w:after="12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Úvod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12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Norma ISO/CEN 7777-1 (dále jen “popisovaný dokument”) je součástí souboru norem, které (řeší/popisují) </w:t>
      </w:r>
    </w:p>
    <w:p w:rsidR="00000000" w:rsidDel="00000000" w:rsidP="00000000" w:rsidRDefault="00000000" w:rsidRPr="00000000" w14:paraId="00000009">
      <w:pPr>
        <w:pageBreakBefore w:val="0"/>
        <w:spacing w:after="12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Poznámka: Extrakt uvádí vybrané kapitoly popisovaného dokumentu a přejímá původní číslování kapitol.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ageBreakBefore w:val="0"/>
        <w:spacing w:after="12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Užití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after="12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Popisovaný dokument ....</w:t>
      </w:r>
    </w:p>
    <w:p w:rsidR="00000000" w:rsidDel="00000000" w:rsidP="00000000" w:rsidRDefault="00000000" w:rsidRPr="00000000" w14:paraId="0000000C">
      <w:pPr>
        <w:pageBreakBefore w:val="0"/>
        <w:spacing w:after="12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Souvisící normy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after="12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Soubor norem ISO/CEN 7777 sestává z částí 7777-1 a(ž) 7777-5, které definují obecné ... </w:t>
      </w:r>
    </w:p>
    <w:p w:rsidR="00000000" w:rsidDel="00000000" w:rsidP="00000000" w:rsidRDefault="00000000" w:rsidRPr="00000000" w14:paraId="0000000E">
      <w:pPr>
        <w:pageBreakBefore w:val="0"/>
        <w:spacing w:after="12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 Předmět normy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after="12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Popisovaný dokument poskytuje ...</w:t>
      </w:r>
    </w:p>
    <w:p w:rsidR="00000000" w:rsidDel="00000000" w:rsidP="00000000" w:rsidRDefault="00000000" w:rsidRPr="00000000" w14:paraId="00000010">
      <w:pPr>
        <w:pageBreakBefore w:val="0"/>
        <w:spacing w:after="12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 Termíny a definice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after="12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Kapitola poskytuje XX definic a YY zkratek, z nichž nejdůležitější jsou následující:</w:t>
      </w:r>
    </w:p>
    <w:p w:rsidR="00000000" w:rsidDel="00000000" w:rsidP="00000000" w:rsidRDefault="00000000" w:rsidRPr="00000000" w14:paraId="00000012">
      <w:pPr>
        <w:pageBreakBefore w:val="0"/>
        <w:spacing w:after="12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český termín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(english term)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– </w:t>
      </w:r>
      <w:r w:rsidDel="00000000" w:rsidR="00000000" w:rsidRPr="00000000">
        <w:rPr>
          <w:rtl w:val="0"/>
        </w:rPr>
        <w:t xml:space="preserve">definice termínu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after="12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after="2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Další symboly a zkratky z oboru ITS jsou obsaženy ve slovníku Názvosloví ITS (</w:t>
      </w:r>
      <w:hyperlink r:id="rId6">
        <w:r w:rsidDel="00000000" w:rsidR="00000000" w:rsidRPr="00000000">
          <w:rPr>
            <w:rFonts w:ascii="Arial" w:cs="Arial" w:eastAsia="Arial" w:hAnsi="Arial"/>
            <w:color w:val="0000ff"/>
            <w:sz w:val="20"/>
            <w:szCs w:val="20"/>
            <w:u w:val="single"/>
            <w:rtl w:val="0"/>
          </w:rPr>
          <w:t xml:space="preserve">www.itsterminology.org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15">
      <w:pPr>
        <w:pageBreakBefore w:val="0"/>
        <w:spacing w:after="12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spacing w:after="12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 Požadavky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after="12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Kapitola 5 definuje na X stranách formou Y tabulek a Z schémat ….:</w:t>
      </w:r>
    </w:p>
    <w:p w:rsidR="00000000" w:rsidDel="00000000" w:rsidP="00000000" w:rsidRDefault="00000000" w:rsidRPr="00000000" w14:paraId="00000018">
      <w:pPr>
        <w:keepNext w:val="1"/>
        <w:pageBreakBefore w:val="0"/>
        <w:spacing w:after="120" w:line="240" w:lineRule="auto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0" distR="0">
            <wp:extent cx="5524500" cy="2895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pacing w:after="240" w:before="120" w:line="240" w:lineRule="auto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Tabulka 2 – Atributy pro datovou skupinu „Payment“ (ukázka z tab. 6 popisovaného dokumentu (event. normy))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pacing w:after="12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after="12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Příloha A (normativní) Modul ABC.2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after="12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Příloha A popisuje na X stranách formou výpisu/tabulky...</w:t>
      </w:r>
    </w:p>
    <w:p w:rsidR="00000000" w:rsidDel="00000000" w:rsidP="00000000" w:rsidRDefault="00000000" w:rsidRPr="00000000" w14:paraId="0000001D">
      <w:pPr>
        <w:keepNext w:val="1"/>
        <w:pageBreakBefore w:val="0"/>
        <w:spacing w:after="120" w:line="240" w:lineRule="auto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0" distR="0">
            <wp:extent cx="4143375" cy="25336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253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after="240" w:before="120" w:line="240" w:lineRule="auto"/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Obrázek 5 – Koncept použití média pro dopravní službu (obr. PP popisovaného dokumentu)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943600" cy="4394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after="240" w:before="120" w:line="240" w:lineRule="auto"/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Obrázek 6 – Organizační schéma (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není součástí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popisované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ho dokumentu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1">
      <w:pPr>
        <w:pageBreakBefore w:val="0"/>
        <w:spacing w:after="12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://www.itsterminology.org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