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69AA539" w14:textId="77777777" w:rsidR="000728B9" w:rsidRDefault="00252111">
      <w:bookmarkStart w:id="0" w:name="_GoBack"/>
      <w:bookmarkEnd w:id="0"/>
      <w:r>
        <w:t xml:space="preserve">Biologische Muster tauchen in vielen Alltagssituationen auf und sind außergewöhnlich bedeutsam in der Morphogenese. Aktuelle Literatur zeigt die </w:t>
      </w:r>
      <w:r w:rsidR="00083528">
        <w:t>Möglichkeiten</w:t>
      </w:r>
      <w:r>
        <w:t xml:space="preserve"> der mathematischen Biologie in der </w:t>
      </w:r>
      <w:r w:rsidR="00083528">
        <w:t xml:space="preserve">phänomenologischen </w:t>
      </w:r>
      <w:r>
        <w:t xml:space="preserve">Beschreibung. </w:t>
      </w:r>
      <w:proofErr w:type="gramStart"/>
      <w:r>
        <w:t>D</w:t>
      </w:r>
      <w:r w:rsidR="00083528">
        <w:t>ie mathematischen Grundlagen der</w:t>
      </w:r>
      <w:r>
        <w:t xml:space="preserve"> Musterentst</w:t>
      </w:r>
      <w:r w:rsidR="00083528">
        <w:t xml:space="preserve">ehung und Anwendungen auf die </w:t>
      </w:r>
      <w:r>
        <w:t>Analyse vo</w:t>
      </w:r>
      <w:r w:rsidR="00083528">
        <w:t>n Epithelarchitekturen wird im F</w:t>
      </w:r>
      <w:r>
        <w:t>olgenden nachvollzogen.</w:t>
      </w:r>
      <w:proofErr w:type="gramEnd"/>
    </w:p>
    <w:sectPr w:rsidR="000728B9" w:rsidSect="000728B9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2111"/>
    <w:rsid w:val="000728B9"/>
    <w:rsid w:val="00083528"/>
    <w:rsid w:val="00252111"/>
    <w:rsid w:val="00786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0CE04A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314</Characters>
  <Application>Microsoft Macintosh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2</cp:revision>
  <dcterms:created xsi:type="dcterms:W3CDTF">2014-09-25T18:13:00Z</dcterms:created>
  <dcterms:modified xsi:type="dcterms:W3CDTF">2014-09-25T18:13:00Z</dcterms:modified>
</cp:coreProperties>
</file>